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0C31" w14:textId="4ECC18A6" w:rsidR="00C47F60" w:rsidRPr="00063501" w:rsidRDefault="00C47F60" w:rsidP="00063501">
      <w:pPr>
        <w:spacing w:line="240" w:lineRule="auto"/>
        <w:ind w:left="-709" w:right="-568" w:firstLine="142"/>
        <w:jc w:val="center"/>
        <w:rPr>
          <w:b/>
          <w:color w:val="262626" w:themeColor="text1" w:themeTint="D9"/>
          <w:sz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063501">
        <w:rPr>
          <w:b/>
          <w:bCs/>
          <w:i/>
          <w:iCs/>
          <w:outline/>
          <w:color w:val="F79646" w:themeColor="accent6"/>
          <w:sz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PROGETTO DI “VALORIZZAZIONE E SVILUPPO DELLE FILIERE ECONOMICHE DEL C</w:t>
      </w:r>
      <w:r w:rsidR="009F01A3" w:rsidRPr="00063501">
        <w:rPr>
          <w:b/>
          <w:bCs/>
          <w:i/>
          <w:iCs/>
          <w:outline/>
          <w:color w:val="F79646" w:themeColor="accent6"/>
          <w:sz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ASALASCO</w:t>
      </w:r>
      <w:r w:rsidR="00063501">
        <w:rPr>
          <w:b/>
          <w:bCs/>
          <w:i/>
          <w:iCs/>
          <w:outline/>
          <w:color w:val="F79646" w:themeColor="accent6"/>
          <w:sz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  <w:r w:rsidR="009F01A3" w:rsidRPr="00063501">
        <w:rPr>
          <w:b/>
          <w:bCs/>
          <w:i/>
          <w:iCs/>
          <w:outline/>
          <w:color w:val="F79646" w:themeColor="accent6"/>
          <w:sz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 </w:t>
      </w:r>
      <w:r w:rsidR="002B7722" w:rsidRPr="00063501">
        <w:rPr>
          <w:b/>
          <w:bCs/>
          <w:i/>
          <w:iCs/>
          <w:outline/>
          <w:color w:val="F79646" w:themeColor="accent6"/>
          <w:sz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COSTITUZIONE SPORTELLO RICERCA FONDI</w:t>
      </w:r>
      <w:r w:rsidRPr="00063501">
        <w:rPr>
          <w:b/>
          <w:bCs/>
          <w:i/>
          <w:iCs/>
          <w:outline/>
          <w:color w:val="F79646" w:themeColor="accent6"/>
          <w:sz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SOVRACOMUNALE</w:t>
      </w:r>
    </w:p>
    <w:p w14:paraId="002D5DB1" w14:textId="77777777" w:rsidR="009D155A" w:rsidRDefault="009D155A" w:rsidP="009D0136">
      <w:pPr>
        <w:rPr>
          <w:b/>
          <w:u w:val="single"/>
        </w:rPr>
      </w:pPr>
      <w:r>
        <w:rPr>
          <w:b/>
          <w:u w:val="single"/>
        </w:rPr>
        <w:t>PREMESSA</w:t>
      </w:r>
    </w:p>
    <w:p w14:paraId="676FF105" w14:textId="77777777" w:rsidR="00C47F60" w:rsidRDefault="00EB0067" w:rsidP="00C47F60">
      <w:pPr>
        <w:spacing w:line="480" w:lineRule="auto"/>
        <w:jc w:val="both"/>
      </w:pPr>
      <w:r w:rsidRPr="00EB0067">
        <w:t xml:space="preserve">L’attivazione di </w:t>
      </w:r>
      <w:r w:rsidR="002B7722">
        <w:t>uno sportello ricerca fondi sovracomunale</w:t>
      </w:r>
      <w:r>
        <w:t xml:space="preserve">, </w:t>
      </w:r>
      <w:r w:rsidR="00F6104A">
        <w:t>a servizio</w:t>
      </w:r>
      <w:r>
        <w:t xml:space="preserve"> </w:t>
      </w:r>
      <w:r w:rsidR="00F6104A">
        <w:t>de</w:t>
      </w:r>
      <w:r>
        <w:t>gli Enti Locali e non solo,</w:t>
      </w:r>
      <w:r w:rsidRPr="00EB0067">
        <w:t xml:space="preserve"> non deriva da un adempimento a obblighi normativi ma da una scelta strategica dell’ente di riferimento che intende agevolare l’inserimento del territorio nel contesto delle politiche </w:t>
      </w:r>
      <w:r>
        <w:t>regionali</w:t>
      </w:r>
      <w:r w:rsidR="00C47F60">
        <w:t>, nazionali</w:t>
      </w:r>
      <w:r>
        <w:t xml:space="preserve"> e comunitarie</w:t>
      </w:r>
      <w:r w:rsidRPr="00EB0067">
        <w:t xml:space="preserve">. </w:t>
      </w:r>
      <w:r>
        <w:t>Tale</w:t>
      </w:r>
      <w:r w:rsidRPr="00EB0067">
        <w:t xml:space="preserve"> decisione</w:t>
      </w:r>
      <w:r>
        <w:t xml:space="preserve"> </w:t>
      </w:r>
      <w:r w:rsidRPr="00EB0067">
        <w:t>risponde</w:t>
      </w:r>
      <w:r>
        <w:t>,</w:t>
      </w:r>
      <w:r w:rsidRPr="00EB0067">
        <w:t xml:space="preserve"> pertanto</w:t>
      </w:r>
      <w:r>
        <w:t>,</w:t>
      </w:r>
      <w:r w:rsidRPr="00EB0067">
        <w:t xml:space="preserve"> a div</w:t>
      </w:r>
      <w:r w:rsidR="00C47F60">
        <w:t>erse ragioni politico-culturali che n</w:t>
      </w:r>
      <w:r w:rsidRPr="00EB0067">
        <w:t xml:space="preserve">egli ultimi anni </w:t>
      </w:r>
      <w:r w:rsidR="00C47F60">
        <w:t>hanno portato ad una</w:t>
      </w:r>
      <w:r w:rsidRPr="00EB0067">
        <w:t xml:space="preserve"> crescita delle politiche di relazioni </w:t>
      </w:r>
      <w:r w:rsidR="00C47F60">
        <w:t>fra gli</w:t>
      </w:r>
      <w:r w:rsidRPr="00EB0067">
        <w:t xml:space="preserve"> enti locali. </w:t>
      </w:r>
    </w:p>
    <w:p w14:paraId="4C7E339D" w14:textId="7B2183DA" w:rsidR="00F76C35" w:rsidRDefault="00F76C35" w:rsidP="00C47F60">
      <w:pPr>
        <w:spacing w:line="480" w:lineRule="auto"/>
        <w:jc w:val="both"/>
      </w:pPr>
      <w:r w:rsidRPr="00F76C35">
        <w:t>Per i prossimi anni di programmazione (2014-2020), l’Unione Europea ha stanziato circa 960 miliardi di euro soprattutto per quanto riguardo all’innovazione, l’energia, la mobilità sostenibile, la cultura, l’ambiente e il cambiamento climatico, ed anche gli aspetti di tutela sociale e la promozione della cultura. Diventerà sempre più indispensabile utilizzare risorse regionali, nazionali e comunitarie per sviluppare progetti e sostenere le proprie strutture. Questo vale per un Ente Pubblico, Università, Enti di Formazione, Associazioni, Imprese Private, Cooperative, ecc.</w:t>
      </w:r>
      <w:r w:rsidRPr="00F76C35">
        <w:tab/>
      </w:r>
      <w:r w:rsidRPr="00F76C35">
        <w:br/>
        <w:t xml:space="preserve">Tali soggetti, in considerazione dei molteplici ambiti in cui operano e delle relazioni sociali ed istituzionali che coltivano, risultano essere </w:t>
      </w:r>
      <w:r w:rsidR="00A713DA">
        <w:t>enti</w:t>
      </w:r>
      <w:r w:rsidRPr="00F76C35">
        <w:t xml:space="preserve"> in grado di attingere con progetti specifici a fonti di finanziamento diversificate sia europee, sia </w:t>
      </w:r>
      <w:r>
        <w:t>nazionali, sia regionali</w:t>
      </w:r>
    </w:p>
    <w:p w14:paraId="208EDFB6" w14:textId="08CC0DA8" w:rsidR="00EB0067" w:rsidRDefault="006C6BEB" w:rsidP="00C47F60">
      <w:pPr>
        <w:spacing w:line="480" w:lineRule="auto"/>
        <w:jc w:val="both"/>
      </w:pPr>
      <w:r>
        <w:t>Grazie alla presente progettualità d</w:t>
      </w:r>
      <w:r w:rsidR="00EB0067" w:rsidRPr="00EB0067">
        <w:t xml:space="preserve">a un lato, infatti, si propone la partecipazione a reti </w:t>
      </w:r>
      <w:r w:rsidR="00EB0067">
        <w:t>regionali ed europee</w:t>
      </w:r>
      <w:r w:rsidR="00EB0067" w:rsidRPr="00EB0067">
        <w:t xml:space="preserve">, tematiche o generaliste fra enti di pari livello amministrativo, finalizzata alla presentazione di progetti comuni, o alla creazione di rapporti economici e culturali fra i rispettivi sistemi territoriali; dall’altro, </w:t>
      </w:r>
      <w:r>
        <w:t xml:space="preserve">si vuole far </w:t>
      </w:r>
      <w:r w:rsidR="00EB0067" w:rsidRPr="00EB0067">
        <w:t>cresce</w:t>
      </w:r>
      <w:r>
        <w:t>re</w:t>
      </w:r>
      <w:r w:rsidR="00EB0067" w:rsidRPr="00EB0067">
        <w:t xml:space="preserve"> la vocazione alle esperienze di cooperazione decentrata allo sviluppo, sia esercitata direttamente, che indirettamente, attraverso il sostegno ad organizzazioni e associazioni del proprio te</w:t>
      </w:r>
      <w:r w:rsidR="005B39A9">
        <w:t xml:space="preserve">rritorio. La costituzione di uno “Sportello ricerca fondi sovracomunale” </w:t>
      </w:r>
      <w:r w:rsidR="00EB0067" w:rsidRPr="00EB0067">
        <w:t>p</w:t>
      </w:r>
      <w:r>
        <w:t>otrà</w:t>
      </w:r>
      <w:r w:rsidR="00EB0067">
        <w:t>,</w:t>
      </w:r>
      <w:r w:rsidR="00EB0067" w:rsidRPr="00EB0067">
        <w:t xml:space="preserve"> inoltre</w:t>
      </w:r>
      <w:r w:rsidR="00EB0067">
        <w:t>,</w:t>
      </w:r>
      <w:r w:rsidR="00EB0067" w:rsidRPr="00EB0067">
        <w:t xml:space="preserve"> avere la finalità di diffondere la cultura </w:t>
      </w:r>
      <w:r>
        <w:t xml:space="preserve">di finanza agevolata (regionale, nazionale ed </w:t>
      </w:r>
      <w:r w:rsidR="00EB0067" w:rsidRPr="00EB0067">
        <w:t>europea</w:t>
      </w:r>
      <w:r>
        <w:t>)</w:t>
      </w:r>
      <w:r w:rsidR="00EB0067" w:rsidRPr="00EB0067">
        <w:t xml:space="preserve"> e rendere i cittadini </w:t>
      </w:r>
      <w:r w:rsidR="00EB0067" w:rsidRPr="00EB0067">
        <w:lastRenderedPageBreak/>
        <w:t xml:space="preserve">più consapevoli e partecipi della vita e delle scelte </w:t>
      </w:r>
      <w:r>
        <w:t>del ns. paese e dell’Unione Europea</w:t>
      </w:r>
      <w:r w:rsidR="00EB0067" w:rsidRPr="00EB0067">
        <w:t xml:space="preserve">. La possibilità di integrare le risorse ordinarie pubbliche, in fase di contrazione per le politiche di contenimento del debito pubblico, con le risorse provenienti </w:t>
      </w:r>
      <w:r w:rsidR="00EB0067">
        <w:t xml:space="preserve">da Regione Lombardia, </w:t>
      </w:r>
      <w:r w:rsidR="00EB0067" w:rsidRPr="00EB0067">
        <w:t>dall’Unione</w:t>
      </w:r>
      <w:r w:rsidR="00EB0067">
        <w:t xml:space="preserve"> E</w:t>
      </w:r>
      <w:r w:rsidR="00EB0067" w:rsidRPr="00EB0067">
        <w:t>uropea</w:t>
      </w:r>
      <w:r w:rsidR="00EB0067">
        <w:t xml:space="preserve"> e da Fondazioni</w:t>
      </w:r>
      <w:r w:rsidR="00EB0067" w:rsidRPr="00EB0067">
        <w:t>, rappresent</w:t>
      </w:r>
      <w:r>
        <w:t>erà</w:t>
      </w:r>
      <w:r w:rsidR="00EB0067" w:rsidRPr="00EB0067">
        <w:t xml:space="preserve"> un’ulteriore motivazione che </w:t>
      </w:r>
      <w:r>
        <w:t>potrà indurre</w:t>
      </w:r>
      <w:r w:rsidR="00EB0067" w:rsidRPr="00EB0067">
        <w:t xml:space="preserve"> l</w:t>
      </w:r>
      <w:r>
        <w:t>e</w:t>
      </w:r>
      <w:r w:rsidR="00EB0067" w:rsidRPr="00EB0067">
        <w:t xml:space="preserve"> Pubblic</w:t>
      </w:r>
      <w:r>
        <w:t>he</w:t>
      </w:r>
      <w:r w:rsidR="00EB0067" w:rsidRPr="00EB0067">
        <w:t xml:space="preserve"> Amministrazion</w:t>
      </w:r>
      <w:r>
        <w:t>i</w:t>
      </w:r>
      <w:r w:rsidR="00EB0067" w:rsidRPr="00EB0067">
        <w:t xml:space="preserve"> ad a</w:t>
      </w:r>
      <w:r w:rsidR="00EB0067">
        <w:t>derir</w:t>
      </w:r>
      <w:r w:rsidR="00EB0067" w:rsidRPr="00EB0067">
        <w:t xml:space="preserve">e </w:t>
      </w:r>
      <w:r w:rsidR="00A713DA">
        <w:t>allo “Sportello ricerca fondi sovracomunale”</w:t>
      </w:r>
      <w:r w:rsidR="00EB0067">
        <w:t>.</w:t>
      </w:r>
    </w:p>
    <w:p w14:paraId="2428FC25" w14:textId="77777777" w:rsidR="0076380A" w:rsidRDefault="0076380A" w:rsidP="00C47F60">
      <w:pPr>
        <w:spacing w:line="480" w:lineRule="auto"/>
        <w:jc w:val="both"/>
      </w:pPr>
      <w:r>
        <w:t>Il punt</w:t>
      </w:r>
      <w:r w:rsidR="002B7722">
        <w:t xml:space="preserve">o di partenza per l’avvio di uno sportello </w:t>
      </w:r>
      <w:r>
        <w:t xml:space="preserve">è rappresentato dalla scelta del modello organizzativo che </w:t>
      </w:r>
      <w:r w:rsidR="006C6BEB">
        <w:t>sarà</w:t>
      </w:r>
      <w:r>
        <w:t xml:space="preserve"> differente anche in base ai destinatari, ai servizi e ai canali attraverso cui verranno erogati. Queste variabili si intrecciano e si influenzano in un rapporto di causa/effetto per giungere alla definizione del modello organizzativo.</w:t>
      </w:r>
    </w:p>
    <w:p w14:paraId="535DE5AA" w14:textId="77777777" w:rsidR="0076380A" w:rsidRPr="00EB0067" w:rsidRDefault="0076380A" w:rsidP="00C47F60">
      <w:pPr>
        <w:spacing w:line="480" w:lineRule="auto"/>
        <w:jc w:val="both"/>
      </w:pPr>
      <w:r>
        <w:t>Si riporta un grafico che sintetizza le fasi strategico/operative che accompagn</w:t>
      </w:r>
      <w:r w:rsidR="006C6BEB">
        <w:t>eranno</w:t>
      </w:r>
      <w:r>
        <w:t xml:space="preserve"> l’avvio </w:t>
      </w:r>
      <w:r w:rsidR="002B7722">
        <w:t>dello “Sportello ricerca fondi sovracomunale”</w:t>
      </w:r>
    </w:p>
    <w:p w14:paraId="54409CDF" w14:textId="77777777" w:rsidR="009D155A" w:rsidRDefault="00BA79BB" w:rsidP="00C47F60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it-IT"/>
        </w:rPr>
        <w:drawing>
          <wp:inline distT="0" distB="0" distL="0" distR="0" wp14:anchorId="4E6B0DAA" wp14:editId="732F78EC">
            <wp:extent cx="3102529" cy="3898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29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095A" w14:textId="77777777" w:rsidR="00A229F0" w:rsidRDefault="00A229F0" w:rsidP="0076380A">
      <w:pPr>
        <w:rPr>
          <w:b/>
          <w:bCs/>
          <w:u w:val="single"/>
        </w:rPr>
      </w:pPr>
    </w:p>
    <w:p w14:paraId="1AA6A295" w14:textId="77777777" w:rsidR="00BB43B6" w:rsidRDefault="00BB43B6" w:rsidP="0076380A">
      <w:pPr>
        <w:rPr>
          <w:b/>
          <w:bCs/>
          <w:u w:val="single"/>
        </w:rPr>
      </w:pPr>
    </w:p>
    <w:p w14:paraId="05B7DC4A" w14:textId="77777777" w:rsidR="0076380A" w:rsidRPr="0076380A" w:rsidRDefault="0076380A" w:rsidP="0076380A">
      <w:pPr>
        <w:rPr>
          <w:b/>
          <w:u w:val="single"/>
        </w:rPr>
      </w:pPr>
      <w:r w:rsidRPr="0076380A">
        <w:rPr>
          <w:b/>
          <w:bCs/>
          <w:u w:val="single"/>
        </w:rPr>
        <w:t>ANALISI DEL CONTESTO DI RIFERIMENTO</w:t>
      </w:r>
    </w:p>
    <w:p w14:paraId="798AB229" w14:textId="77777777" w:rsidR="006C6BEB" w:rsidRDefault="0076380A" w:rsidP="00C47F60">
      <w:pPr>
        <w:spacing w:line="480" w:lineRule="auto"/>
        <w:jc w:val="both"/>
      </w:pPr>
      <w:r w:rsidRPr="0076380A">
        <w:lastRenderedPageBreak/>
        <w:t>L’analisi del contesto defini</w:t>
      </w:r>
      <w:r w:rsidR="006C6BEB">
        <w:t xml:space="preserve">rà </w:t>
      </w:r>
      <w:r w:rsidRPr="0076380A">
        <w:t>il tessuto economico e sociale</w:t>
      </w:r>
      <w:r>
        <w:t xml:space="preserve"> che caratterizz</w:t>
      </w:r>
      <w:r w:rsidR="006C6BEB">
        <w:t>erà</w:t>
      </w:r>
      <w:r>
        <w:t xml:space="preserve"> l’area in cui </w:t>
      </w:r>
      <w:r w:rsidR="002B7722">
        <w:t>lo sportello</w:t>
      </w:r>
      <w:r>
        <w:t xml:space="preserve"> si troverà ad operare</w:t>
      </w:r>
      <w:r w:rsidRPr="0076380A">
        <w:t xml:space="preserve"> e la sua organizzazione interna. </w:t>
      </w:r>
    </w:p>
    <w:p w14:paraId="58E1C056" w14:textId="77777777" w:rsidR="0076380A" w:rsidRPr="0076380A" w:rsidRDefault="0076380A" w:rsidP="00C47F60">
      <w:pPr>
        <w:spacing w:line="480" w:lineRule="auto"/>
        <w:jc w:val="both"/>
      </w:pPr>
      <w:r w:rsidRPr="0076380A">
        <w:t>Essa si riferisce a:</w:t>
      </w:r>
    </w:p>
    <w:p w14:paraId="679C7D61" w14:textId="77777777" w:rsidR="0076380A" w:rsidRDefault="0076380A" w:rsidP="00C47F60">
      <w:pPr>
        <w:numPr>
          <w:ilvl w:val="0"/>
          <w:numId w:val="3"/>
        </w:numPr>
        <w:spacing w:line="480" w:lineRule="auto"/>
        <w:jc w:val="both"/>
      </w:pPr>
      <w:r w:rsidRPr="0076380A">
        <w:rPr>
          <w:i/>
          <w:u w:val="single"/>
        </w:rPr>
        <w:t>contesto organizzativo interno:</w:t>
      </w:r>
      <w:r w:rsidRPr="0076380A">
        <w:t xml:space="preserve"> si indag</w:t>
      </w:r>
      <w:r w:rsidR="006C6BEB">
        <w:t>herà</w:t>
      </w:r>
      <w:r w:rsidRPr="0076380A">
        <w:t xml:space="preserve"> sull’articolaz</w:t>
      </w:r>
      <w:r>
        <w:t xml:space="preserve">ione organizzativa e funzionale </w:t>
      </w:r>
      <w:r w:rsidRPr="0076380A">
        <w:t>del</w:t>
      </w:r>
      <w:r>
        <w:t>le Amministrazioni</w:t>
      </w:r>
      <w:r w:rsidRPr="0076380A">
        <w:t>, sulla rete di relazioni istituzionali di cui ess</w:t>
      </w:r>
      <w:r>
        <w:t>e</w:t>
      </w:r>
      <w:r w:rsidRPr="0076380A">
        <w:t xml:space="preserve"> fa</w:t>
      </w:r>
      <w:r>
        <w:t>nno</w:t>
      </w:r>
      <w:r w:rsidRPr="0076380A">
        <w:t xml:space="preserve"> parte e sulle modalità di integrazione e complementarietà tra i vari uffici</w:t>
      </w:r>
      <w:r>
        <w:t xml:space="preserve"> e</w:t>
      </w:r>
      <w:r w:rsidRPr="0076380A">
        <w:t xml:space="preserve"> settori; </w:t>
      </w:r>
    </w:p>
    <w:p w14:paraId="7982DFC8" w14:textId="77777777" w:rsidR="00C36C4A" w:rsidRDefault="0076380A" w:rsidP="00F54122">
      <w:pPr>
        <w:numPr>
          <w:ilvl w:val="0"/>
          <w:numId w:val="3"/>
        </w:numPr>
        <w:spacing w:line="480" w:lineRule="auto"/>
        <w:jc w:val="both"/>
      </w:pPr>
      <w:r w:rsidRPr="0076380A">
        <w:rPr>
          <w:i/>
          <w:u w:val="single"/>
        </w:rPr>
        <w:t>contesto economico-sociale:</w:t>
      </w:r>
      <w:r w:rsidRPr="0076380A">
        <w:t xml:space="preserve"> si studi</w:t>
      </w:r>
      <w:r w:rsidR="006C6BEB">
        <w:t>eranno</w:t>
      </w:r>
      <w:r w:rsidRPr="0076380A">
        <w:t xml:space="preserve"> le caratteristiche del territorio in cui opera</w:t>
      </w:r>
      <w:r>
        <w:t xml:space="preserve">no le </w:t>
      </w:r>
      <w:r w:rsidRPr="0076380A">
        <w:t>Amministrazion</w:t>
      </w:r>
      <w:r>
        <w:t>i</w:t>
      </w:r>
      <w:r w:rsidRPr="0076380A">
        <w:t xml:space="preserve">, al fine di “contestualizzare” </w:t>
      </w:r>
      <w:r w:rsidR="00BA79BB">
        <w:t>lo sportello</w:t>
      </w:r>
      <w:r w:rsidRPr="0076380A">
        <w:t>. Questa attività inoltre permett</w:t>
      </w:r>
      <w:r w:rsidR="006C6BEB">
        <w:t>erà</w:t>
      </w:r>
      <w:r w:rsidRPr="0076380A">
        <w:t xml:space="preserve"> di individuare con maggior precisione il target di riferimento, i fabbisogni locali ed i servizi da erogare. Si tratt</w:t>
      </w:r>
      <w:r w:rsidR="006C6BEB">
        <w:t xml:space="preserve">erà </w:t>
      </w:r>
      <w:r w:rsidRPr="0076380A">
        <w:t>di studiare attentamente l’area geografica di riferimento e verif</w:t>
      </w:r>
      <w:r w:rsidR="00F54122">
        <w:t xml:space="preserve">icare l’eventuale esistenza sul </w:t>
      </w:r>
      <w:r w:rsidRPr="0076380A">
        <w:t xml:space="preserve">territorio di strutture che svolgono attività di informazione e/o progettazione </w:t>
      </w:r>
      <w:r>
        <w:t xml:space="preserve">regionale e </w:t>
      </w:r>
      <w:r w:rsidRPr="0076380A">
        <w:t xml:space="preserve">comunitaria </w:t>
      </w:r>
      <w:r w:rsidR="002B7722">
        <w:t xml:space="preserve">Gal Terre del Po, </w:t>
      </w:r>
      <w:r>
        <w:t xml:space="preserve">Gal Oglio Po, </w:t>
      </w:r>
      <w:r w:rsidR="002B7722">
        <w:t xml:space="preserve">Consorzio Casalasco Servizi Sociali, Consorzio Pubblico Servizi alla persona, </w:t>
      </w:r>
      <w:r>
        <w:t>etc…</w:t>
      </w:r>
      <w:r w:rsidRPr="0076380A">
        <w:t>) e</w:t>
      </w:r>
      <w:r>
        <w:t>d</w:t>
      </w:r>
      <w:r w:rsidRPr="0076380A">
        <w:t xml:space="preserve"> i target a cui si rivolgono, nell’ottica di attivare collaborazioni interistituzionali con tali servizi ed evitare la sovrapposizione di attività. Dalle caratteristiche sociali, economiche e territoriali di riferimento po</w:t>
      </w:r>
      <w:r w:rsidR="006C6BEB">
        <w:t>tranno,</w:t>
      </w:r>
      <w:r w:rsidRPr="0076380A">
        <w:t xml:space="preserve"> quindi</w:t>
      </w:r>
      <w:r w:rsidR="006C6BEB">
        <w:t>,</w:t>
      </w:r>
      <w:r w:rsidRPr="0076380A">
        <w:t xml:space="preserve"> essere desunte importanti indicazioni sulle caratteristiche dell'uten</w:t>
      </w:r>
      <w:r>
        <w:t xml:space="preserve">za potenziale del nuovo </w:t>
      </w:r>
      <w:r w:rsidR="00E17EFF">
        <w:t>sportello</w:t>
      </w:r>
      <w:r>
        <w:t>.</w:t>
      </w:r>
    </w:p>
    <w:p w14:paraId="2CCFEAED" w14:textId="77777777" w:rsidR="00C36C4A" w:rsidRDefault="00C36C4A" w:rsidP="00C36C4A">
      <w:pPr>
        <w:jc w:val="both"/>
        <w:rPr>
          <w:b/>
          <w:bCs/>
          <w:u w:val="single"/>
        </w:rPr>
      </w:pPr>
      <w:r w:rsidRPr="00C36C4A">
        <w:rPr>
          <w:b/>
          <w:bCs/>
          <w:u w:val="single"/>
        </w:rPr>
        <w:t xml:space="preserve">RUOLO E FUNZIONI </w:t>
      </w:r>
      <w:r w:rsidR="002B7722">
        <w:rPr>
          <w:b/>
          <w:bCs/>
          <w:u w:val="single"/>
        </w:rPr>
        <w:t>DELLO SPORTELLO RICERCA FONDI SOVRACOMUNALE</w:t>
      </w:r>
    </w:p>
    <w:p w14:paraId="3F7455E6" w14:textId="77777777" w:rsidR="00C36C4A" w:rsidRPr="00C36C4A" w:rsidRDefault="00C36C4A" w:rsidP="00C47F60">
      <w:pPr>
        <w:spacing w:line="480" w:lineRule="auto"/>
        <w:jc w:val="both"/>
      </w:pPr>
      <w:r w:rsidRPr="00C36C4A">
        <w:t xml:space="preserve">Lo sviluppo di un modello operativo e funzionale </w:t>
      </w:r>
      <w:r w:rsidR="002B7722">
        <w:t>dello sportello</w:t>
      </w:r>
      <w:r>
        <w:t xml:space="preserve"> richiede</w:t>
      </w:r>
      <w:r w:rsidR="006C6BEB">
        <w:t>rà</w:t>
      </w:r>
      <w:r>
        <w:t xml:space="preserve"> due decisioni di tipo </w:t>
      </w:r>
      <w:r w:rsidRPr="00C36C4A">
        <w:t xml:space="preserve">strategico, che sono di competenza </w:t>
      </w:r>
      <w:r w:rsidR="002B7722">
        <w:t>di Casalasca Servizi</w:t>
      </w:r>
      <w:r w:rsidRPr="00C36C4A">
        <w:t xml:space="preserve"> e, in parte, </w:t>
      </w:r>
      <w:r>
        <w:t>degli enti locali aderenti</w:t>
      </w:r>
      <w:r w:rsidRPr="00C36C4A">
        <w:t>.</w:t>
      </w:r>
    </w:p>
    <w:p w14:paraId="6D101D30" w14:textId="77777777" w:rsidR="00BB43B6" w:rsidRDefault="00C36C4A" w:rsidP="00C47F60">
      <w:pPr>
        <w:spacing w:line="480" w:lineRule="auto"/>
        <w:jc w:val="both"/>
      </w:pPr>
      <w:r w:rsidRPr="00C36C4A">
        <w:t>La prima d</w:t>
      </w:r>
      <w:r w:rsidR="006C6BEB">
        <w:t>ovrà</w:t>
      </w:r>
      <w:r w:rsidRPr="00C36C4A">
        <w:t xml:space="preserve"> individuare i destinatari finali dei servizi (target). </w:t>
      </w:r>
    </w:p>
    <w:p w14:paraId="1E3CA2F7" w14:textId="77777777" w:rsidR="00C36C4A" w:rsidRPr="00C36C4A" w:rsidRDefault="00C36C4A" w:rsidP="00C47F60">
      <w:pPr>
        <w:spacing w:line="480" w:lineRule="auto"/>
        <w:jc w:val="both"/>
      </w:pPr>
      <w:r w:rsidRPr="00C36C4A">
        <w:t xml:space="preserve">I principali gruppi di utenti, combinabili tra di loro, ai quali l’Ufficio </w:t>
      </w:r>
      <w:r>
        <w:t>Bandi</w:t>
      </w:r>
      <w:r w:rsidRPr="00C36C4A">
        <w:t xml:space="preserve"> p</w:t>
      </w:r>
      <w:r w:rsidR="006C6BEB">
        <w:t>otrà</w:t>
      </w:r>
      <w:r w:rsidRPr="00C36C4A">
        <w:t xml:space="preserve"> orientare i suoi servizi </w:t>
      </w:r>
      <w:r w:rsidR="006C6BEB">
        <w:t>saranno</w:t>
      </w:r>
      <w:r w:rsidRPr="00C36C4A">
        <w:t>:</w:t>
      </w:r>
    </w:p>
    <w:p w14:paraId="1744A032" w14:textId="77777777" w:rsidR="00C36C4A" w:rsidRDefault="00C36C4A" w:rsidP="00C47F60">
      <w:pPr>
        <w:numPr>
          <w:ilvl w:val="0"/>
          <w:numId w:val="5"/>
        </w:numPr>
        <w:spacing w:line="480" w:lineRule="auto"/>
        <w:jc w:val="both"/>
      </w:pPr>
      <w:r w:rsidRPr="00C36C4A">
        <w:t xml:space="preserve">operatori della </w:t>
      </w:r>
      <w:r>
        <w:t>amministrazioni aderenti</w:t>
      </w:r>
      <w:r w:rsidR="006C6BEB">
        <w:t>;</w:t>
      </w:r>
    </w:p>
    <w:p w14:paraId="3EC25610" w14:textId="77777777" w:rsidR="00C36C4A" w:rsidRDefault="00C36C4A" w:rsidP="00C47F60">
      <w:pPr>
        <w:numPr>
          <w:ilvl w:val="0"/>
          <w:numId w:val="5"/>
        </w:numPr>
        <w:spacing w:line="480" w:lineRule="auto"/>
        <w:jc w:val="both"/>
      </w:pPr>
      <w:r w:rsidRPr="00C36C4A">
        <w:t>operatori di altre amministrazioni</w:t>
      </w:r>
      <w:r>
        <w:t xml:space="preserve"> </w:t>
      </w:r>
      <w:r w:rsidR="006C6BEB">
        <w:t>per</w:t>
      </w:r>
      <w:r>
        <w:t xml:space="preserve"> coinvolgerLe in partenariati territoriali</w:t>
      </w:r>
      <w:r w:rsidRPr="00C36C4A">
        <w:t>; </w:t>
      </w:r>
    </w:p>
    <w:p w14:paraId="406C6A9F" w14:textId="77777777" w:rsidR="00C36C4A" w:rsidRDefault="00C36C4A" w:rsidP="00C47F60">
      <w:pPr>
        <w:numPr>
          <w:ilvl w:val="0"/>
          <w:numId w:val="5"/>
        </w:numPr>
        <w:spacing w:line="480" w:lineRule="auto"/>
        <w:jc w:val="both"/>
      </w:pPr>
      <w:r w:rsidRPr="00C36C4A">
        <w:lastRenderedPageBreak/>
        <w:t>soggetti economici e sociali; </w:t>
      </w:r>
    </w:p>
    <w:p w14:paraId="1A432231" w14:textId="77777777" w:rsidR="00C36C4A" w:rsidRPr="00C36C4A" w:rsidRDefault="006C6BEB" w:rsidP="00C47F60">
      <w:pPr>
        <w:numPr>
          <w:ilvl w:val="0"/>
          <w:numId w:val="5"/>
        </w:numPr>
        <w:spacing w:line="480" w:lineRule="auto"/>
        <w:jc w:val="both"/>
      </w:pPr>
      <w:r>
        <w:t>cittadini.</w:t>
      </w:r>
    </w:p>
    <w:p w14:paraId="1C836FC5" w14:textId="77777777" w:rsidR="00C36C4A" w:rsidRPr="00C36C4A" w:rsidRDefault="00C36C4A" w:rsidP="00C47F60">
      <w:pPr>
        <w:spacing w:line="480" w:lineRule="auto"/>
        <w:jc w:val="both"/>
      </w:pPr>
      <w:r w:rsidRPr="00C36C4A">
        <w:t xml:space="preserve">Ogni gruppo di destinatari </w:t>
      </w:r>
      <w:r w:rsidR="006C6BEB">
        <w:t>potrà</w:t>
      </w:r>
      <w:r w:rsidRPr="00C36C4A">
        <w:t xml:space="preserve"> essere considerato come un’area di mercato e ciò comport</w:t>
      </w:r>
      <w:r w:rsidR="006C6BEB">
        <w:t>erà</w:t>
      </w:r>
      <w:r w:rsidRPr="00C36C4A">
        <w:t xml:space="preserve"> la necessità di una personalizzazione dei servizi e dei canali di comunicazione.</w:t>
      </w:r>
    </w:p>
    <w:p w14:paraId="7963945B" w14:textId="77777777" w:rsidR="00C36C4A" w:rsidRPr="00C36C4A" w:rsidRDefault="00C36C4A" w:rsidP="00C47F60">
      <w:pPr>
        <w:spacing w:line="480" w:lineRule="auto"/>
        <w:jc w:val="both"/>
      </w:pPr>
      <w:r w:rsidRPr="00C36C4A">
        <w:t>La seconda decisione, vincolata dalle risorse finanziarie e organizzative disponibili, riguard</w:t>
      </w:r>
      <w:r w:rsidR="006C6BEB">
        <w:t>erà</w:t>
      </w:r>
      <w:r w:rsidRPr="00C36C4A">
        <w:t xml:space="preserve"> il ruolo in gene</w:t>
      </w:r>
      <w:r>
        <w:t xml:space="preserve">rale da attribuire </w:t>
      </w:r>
      <w:r w:rsidR="002B7722">
        <w:t>allo Sportello.</w:t>
      </w:r>
    </w:p>
    <w:p w14:paraId="7C3F654F" w14:textId="77777777" w:rsidR="00C36C4A" w:rsidRPr="00C36C4A" w:rsidRDefault="00C36C4A" w:rsidP="00C47F60">
      <w:pPr>
        <w:spacing w:line="480" w:lineRule="auto"/>
        <w:jc w:val="both"/>
      </w:pPr>
      <w:r w:rsidRPr="00C36C4A">
        <w:t>Si po</w:t>
      </w:r>
      <w:r w:rsidR="006C6BEB">
        <w:t>tranno</w:t>
      </w:r>
      <w:r w:rsidRPr="00C36C4A">
        <w:t xml:space="preserve"> immaginare </w:t>
      </w:r>
      <w:r w:rsidR="00CE7140">
        <w:t>tre</w:t>
      </w:r>
      <w:r w:rsidRPr="00C36C4A">
        <w:t xml:space="preserve"> diverse ipotesi, presentate in ordine crescente di complessità:</w:t>
      </w:r>
    </w:p>
    <w:p w14:paraId="271E8A73" w14:textId="77777777" w:rsidR="00C36C4A" w:rsidRDefault="00C36C4A" w:rsidP="00C47F60">
      <w:pPr>
        <w:numPr>
          <w:ilvl w:val="0"/>
          <w:numId w:val="6"/>
        </w:numPr>
        <w:spacing w:line="480" w:lineRule="auto"/>
        <w:jc w:val="both"/>
      </w:pPr>
      <w:r w:rsidRPr="00C36C4A">
        <w:t>centro di documentazione; </w:t>
      </w:r>
    </w:p>
    <w:p w14:paraId="59B23644" w14:textId="77777777" w:rsidR="00C36C4A" w:rsidRDefault="00C36C4A" w:rsidP="00C47F60">
      <w:pPr>
        <w:numPr>
          <w:ilvl w:val="0"/>
          <w:numId w:val="6"/>
        </w:numPr>
        <w:spacing w:line="480" w:lineRule="auto"/>
        <w:jc w:val="both"/>
      </w:pPr>
      <w:r w:rsidRPr="00C36C4A">
        <w:t>sportello informativo; </w:t>
      </w:r>
    </w:p>
    <w:p w14:paraId="24D8BC66" w14:textId="77777777" w:rsidR="00992070" w:rsidRPr="00CE7140" w:rsidRDefault="00C36C4A" w:rsidP="00992070">
      <w:pPr>
        <w:numPr>
          <w:ilvl w:val="0"/>
          <w:numId w:val="6"/>
        </w:numPr>
        <w:spacing w:line="480" w:lineRule="auto"/>
        <w:jc w:val="both"/>
      </w:pPr>
      <w:r w:rsidRPr="00C36C4A">
        <w:t>agenzia di animazione e promozione del territorio</w:t>
      </w:r>
      <w:r>
        <w:t>.</w:t>
      </w:r>
    </w:p>
    <w:p w14:paraId="29C06BE6" w14:textId="77777777" w:rsidR="00992070" w:rsidRDefault="00992070" w:rsidP="00992070">
      <w:pPr>
        <w:rPr>
          <w:b/>
          <w:bCs/>
          <w:u w:val="single"/>
        </w:rPr>
      </w:pPr>
      <w:r w:rsidRPr="00992070">
        <w:rPr>
          <w:b/>
          <w:bCs/>
          <w:u w:val="single"/>
        </w:rPr>
        <w:t xml:space="preserve">I SERVIZI E LE AREE DI ATTIVITÀ ALL’INTERNO </w:t>
      </w:r>
      <w:r w:rsidR="002B7722">
        <w:rPr>
          <w:b/>
          <w:bCs/>
          <w:u w:val="single"/>
        </w:rPr>
        <w:t>DELLO SPORTELLO</w:t>
      </w:r>
    </w:p>
    <w:p w14:paraId="55F81E09" w14:textId="77777777" w:rsidR="002B7722" w:rsidRPr="002B7722" w:rsidRDefault="002B7722" w:rsidP="005B39A9">
      <w:pPr>
        <w:spacing w:line="480" w:lineRule="auto"/>
        <w:jc w:val="both"/>
      </w:pPr>
      <w:r w:rsidRPr="002B7722">
        <w:t xml:space="preserve">In questa prospettiva, la società </w:t>
      </w:r>
      <w:r>
        <w:t>Casalasca Servizi</w:t>
      </w:r>
      <w:r w:rsidRPr="002B7722">
        <w:t xml:space="preserve"> è in grado di fornire i seguenti servizi di assistenza e consulenza:</w:t>
      </w:r>
    </w:p>
    <w:p w14:paraId="2AA5240D" w14:textId="2078F877" w:rsidR="002B7722" w:rsidRPr="002B7722" w:rsidRDefault="002B7722" w:rsidP="005B39A9">
      <w:pPr>
        <w:pStyle w:val="Paragrafoelenco"/>
        <w:numPr>
          <w:ilvl w:val="0"/>
          <w:numId w:val="11"/>
        </w:numPr>
        <w:spacing w:line="480" w:lineRule="auto"/>
        <w:jc w:val="both"/>
      </w:pPr>
      <w:r w:rsidRPr="002B7722">
        <w:t>Monitoraggio, Informazione e Matching di progetti del cliente e programmi UE, nazionali e regionali</w:t>
      </w:r>
      <w:r w:rsidR="005B39A9">
        <w:t>;</w:t>
      </w:r>
    </w:p>
    <w:p w14:paraId="1C64C5F7" w14:textId="5BE0B16A" w:rsidR="002B7722" w:rsidRPr="002B7722" w:rsidRDefault="002B7722" w:rsidP="005B39A9">
      <w:pPr>
        <w:pStyle w:val="Paragrafoelenco"/>
        <w:numPr>
          <w:ilvl w:val="0"/>
          <w:numId w:val="11"/>
        </w:numPr>
        <w:spacing w:line="480" w:lineRule="auto"/>
        <w:jc w:val="both"/>
      </w:pPr>
      <w:r w:rsidRPr="002B7722">
        <w:t>Partecipazione ai bandi UE come “project partner”</w:t>
      </w:r>
      <w:r w:rsidR="005B39A9">
        <w:t>;</w:t>
      </w:r>
    </w:p>
    <w:p w14:paraId="610B53E5" w14:textId="56031496" w:rsidR="002B7722" w:rsidRPr="002B7722" w:rsidRDefault="002B7722" w:rsidP="005B39A9">
      <w:pPr>
        <w:pStyle w:val="Paragrafoelenco"/>
        <w:numPr>
          <w:ilvl w:val="0"/>
          <w:numId w:val="11"/>
        </w:numPr>
        <w:spacing w:line="480" w:lineRule="auto"/>
        <w:jc w:val="both"/>
      </w:pPr>
      <w:r w:rsidRPr="002B7722">
        <w:t>Presentazione domande di finanziamento e iter istituzionale</w:t>
      </w:r>
      <w:r w:rsidR="005B39A9">
        <w:t>;</w:t>
      </w:r>
    </w:p>
    <w:p w14:paraId="791A4279" w14:textId="180C0719" w:rsidR="00DB7751" w:rsidRPr="00DB7751" w:rsidRDefault="002B7722" w:rsidP="005B39A9">
      <w:pPr>
        <w:pStyle w:val="Paragrafoelenco"/>
        <w:numPr>
          <w:ilvl w:val="0"/>
          <w:numId w:val="11"/>
        </w:numPr>
        <w:spacing w:line="480" w:lineRule="auto"/>
        <w:jc w:val="both"/>
      </w:pPr>
      <w:r w:rsidRPr="002B7722">
        <w:t>Assistenza tecnica alla gestione e alla rendicontazione</w:t>
      </w:r>
      <w:r w:rsidR="005B39A9">
        <w:t>.</w:t>
      </w:r>
    </w:p>
    <w:p w14:paraId="252B7F7A" w14:textId="77777777" w:rsidR="00BB43B6" w:rsidRDefault="00992070" w:rsidP="00C47F60">
      <w:pPr>
        <w:spacing w:line="480" w:lineRule="auto"/>
        <w:jc w:val="both"/>
      </w:pPr>
      <w:r w:rsidRPr="00992070">
        <w:t xml:space="preserve">Come si è detto, </w:t>
      </w:r>
      <w:r w:rsidR="002B7722">
        <w:t>lo sportello</w:t>
      </w:r>
      <w:r w:rsidRPr="00992070">
        <w:t xml:space="preserve"> può essere inteso come un’</w:t>
      </w:r>
      <w:r>
        <w:t>unità organizzativa al servizio delle Amministrazioni</w:t>
      </w:r>
      <w:r w:rsidRPr="00992070">
        <w:t>, dei cittadini e delle imprese per promuovere lo sviluppo del territorio di riferimento</w:t>
      </w:r>
      <w:r>
        <w:t xml:space="preserve"> </w:t>
      </w:r>
      <w:r w:rsidR="000B51C5">
        <w:t xml:space="preserve">ed </w:t>
      </w:r>
      <w:r w:rsidRPr="00992070">
        <w:t xml:space="preserve">attivare canali informativi relativi ad opportunità </w:t>
      </w:r>
      <w:r w:rsidR="000B51C5">
        <w:t xml:space="preserve">regionali, </w:t>
      </w:r>
      <w:r w:rsidR="002B7722">
        <w:t>nazionali e comunitarie.</w:t>
      </w:r>
    </w:p>
    <w:p w14:paraId="10C63D85" w14:textId="77777777" w:rsidR="00992070" w:rsidRPr="00992070" w:rsidRDefault="00992070" w:rsidP="00C47F60">
      <w:pPr>
        <w:spacing w:line="480" w:lineRule="auto"/>
        <w:jc w:val="both"/>
      </w:pPr>
      <w:r w:rsidRPr="00992070">
        <w:t xml:space="preserve">Si tratta quindi di uno strumento operativo in grado di mettere in relazione le opportunità </w:t>
      </w:r>
      <w:r w:rsidR="000B51C5">
        <w:t>regionali, nazionali</w:t>
      </w:r>
      <w:r w:rsidRPr="00992070">
        <w:t xml:space="preserve">, ma anche quelle </w:t>
      </w:r>
      <w:r w:rsidR="000B51C5">
        <w:t>comunitarie</w:t>
      </w:r>
      <w:r w:rsidRPr="00992070">
        <w:t>, con le esigenze del territorio.</w:t>
      </w:r>
    </w:p>
    <w:p w14:paraId="2032D4C3" w14:textId="77777777" w:rsidR="00992070" w:rsidRPr="00992070" w:rsidRDefault="002B7722" w:rsidP="00C47F60">
      <w:pPr>
        <w:spacing w:line="480" w:lineRule="auto"/>
      </w:pPr>
      <w:r>
        <w:lastRenderedPageBreak/>
        <w:t>Lo sportello, nell’ambito dei servizi sopra delineati,</w:t>
      </w:r>
      <w:r w:rsidR="00992070" w:rsidRPr="00992070">
        <w:t xml:space="preserve"> svolg</w:t>
      </w:r>
      <w:r w:rsidR="006C6BEB">
        <w:t>erà</w:t>
      </w:r>
      <w:r w:rsidR="00992070" w:rsidRPr="00992070">
        <w:t xml:space="preserve"> un ampio ventaglio di attività:</w:t>
      </w:r>
    </w:p>
    <w:p w14:paraId="5918EE37" w14:textId="77777777" w:rsidR="00E17EFF" w:rsidRPr="009A76CE" w:rsidRDefault="00E17EFF" w:rsidP="00E17EFF">
      <w:pPr>
        <w:jc w:val="both"/>
        <w:rPr>
          <w:b/>
        </w:rPr>
      </w:pPr>
      <w:r w:rsidRPr="009A76CE">
        <w:rPr>
          <w:b/>
        </w:rPr>
        <w:t>A)  Monitoraggio ed informazione costante dei vari programmi comunitari, nazionali e regionali e Matching tra progetto del cliente e le linee di finanziamento con calendarizzazione delle call</w:t>
      </w:r>
    </w:p>
    <w:p w14:paraId="2C77A8B8" w14:textId="6FC6A45A" w:rsidR="00E17EFF" w:rsidRDefault="00E17EFF" w:rsidP="00E17EFF">
      <w:pPr>
        <w:spacing w:line="480" w:lineRule="auto"/>
        <w:jc w:val="both"/>
      </w:pPr>
      <w:r>
        <w:t>- Individuazione e studio dei vari programmi, call for proposals e misure, nei settori maggiormente interessanti per il cl</w:t>
      </w:r>
      <w:r w:rsidR="005B39A9">
        <w:t>iente con informazione costante;</w:t>
      </w:r>
    </w:p>
    <w:p w14:paraId="05907489" w14:textId="236FF0DC" w:rsidR="00E17EFF" w:rsidRDefault="00E17EFF" w:rsidP="00E17EFF">
      <w:pPr>
        <w:spacing w:line="480" w:lineRule="auto"/>
        <w:jc w:val="both"/>
      </w:pPr>
      <w:r>
        <w:t>- Realizzazione di schede tecniche riassuntive al fine di avere un quadro del programma e dei suoi contenuti principali. Oltre ai contenuti tecnici del bando, le schede riporteranno anche</w:t>
      </w:r>
      <w:r w:rsidR="005B39A9">
        <w:t xml:space="preserve"> suggerimenti e proposte lavoro;</w:t>
      </w:r>
    </w:p>
    <w:p w14:paraId="11D36F82" w14:textId="707811CE" w:rsidR="00E17EFF" w:rsidRDefault="00E17EFF" w:rsidP="00E17EFF">
      <w:pPr>
        <w:spacing w:line="480" w:lineRule="auto"/>
        <w:jc w:val="both"/>
      </w:pPr>
      <w:r>
        <w:t>- Incontri periodici, anche con strumenti di teleconferenza quali Skype, con la direzione al fine di valutare l’interesse a proporsi come “lead</w:t>
      </w:r>
      <w:r w:rsidR="005B39A9">
        <w:t>er</w:t>
      </w:r>
      <w:r>
        <w:t xml:space="preserve">” (capofila) di uno specifico progetto e </w:t>
      </w:r>
      <w:r w:rsidR="005B39A9">
        <w:t>per impostare le fasi di lavoro;</w:t>
      </w:r>
    </w:p>
    <w:p w14:paraId="7769897E" w14:textId="1FD942B9" w:rsidR="00E17EFF" w:rsidRDefault="00E17EFF" w:rsidP="00E17EFF">
      <w:pPr>
        <w:spacing w:line="480" w:lineRule="auto"/>
        <w:jc w:val="both"/>
      </w:pPr>
      <w:r>
        <w:t xml:space="preserve">- Definizione degli obiettivi, delle azioni e dei </w:t>
      </w:r>
      <w:r w:rsidR="005B39A9">
        <w:t>potenziali progetti del cliente;</w:t>
      </w:r>
    </w:p>
    <w:p w14:paraId="26CC9A9D" w14:textId="77777777" w:rsidR="00E17EFF" w:rsidRDefault="00E17EFF" w:rsidP="00E17EFF">
      <w:pPr>
        <w:spacing w:line="480" w:lineRule="auto"/>
        <w:jc w:val="both"/>
      </w:pPr>
      <w:r>
        <w:t>- Azione di Matching tra le idee di progetto del cliente ed i programmi UE, nazionali e regionali, con calendarizzazione delle call.</w:t>
      </w:r>
    </w:p>
    <w:p w14:paraId="1CE02D7B" w14:textId="77777777" w:rsidR="007A1304" w:rsidRDefault="007A1304" w:rsidP="007A1304">
      <w:pPr>
        <w:jc w:val="both"/>
        <w:rPr>
          <w:b/>
        </w:rPr>
      </w:pPr>
      <w:r w:rsidRPr="009A76CE">
        <w:rPr>
          <w:b/>
        </w:rPr>
        <w:t>B) PARTECIPAZIONE COME “Project Partner” in progetti presentati da soggetti capofila europei</w:t>
      </w:r>
    </w:p>
    <w:p w14:paraId="5F3D9994" w14:textId="073ABF97" w:rsidR="007A1304" w:rsidRPr="009A76CE" w:rsidRDefault="007A1304" w:rsidP="007A1304">
      <w:pPr>
        <w:spacing w:line="480" w:lineRule="auto"/>
        <w:jc w:val="both"/>
      </w:pPr>
      <w:r w:rsidRPr="009A76CE">
        <w:t>- Iscrizione a banche dati c</w:t>
      </w:r>
      <w:r>
        <w:t>omunitarie per ricerca partners;</w:t>
      </w:r>
    </w:p>
    <w:p w14:paraId="5939B10F" w14:textId="6CE17764" w:rsidR="007A1304" w:rsidRDefault="007A1304" w:rsidP="007A1304">
      <w:pPr>
        <w:spacing w:line="480" w:lineRule="auto"/>
        <w:jc w:val="both"/>
      </w:pPr>
      <w:r w:rsidRPr="009A76CE">
        <w:t>-</w:t>
      </w:r>
      <w:r>
        <w:t xml:space="preserve"> Identificazione richieste di partnership nei settori prioritari identificati del cliente</w:t>
      </w:r>
      <w:r w:rsidR="005B39A9">
        <w:t>;</w:t>
      </w:r>
    </w:p>
    <w:p w14:paraId="154A74AD" w14:textId="20AE1C69" w:rsidR="007A1304" w:rsidRDefault="007A1304" w:rsidP="007A1304">
      <w:pPr>
        <w:spacing w:line="480" w:lineRule="auto"/>
        <w:jc w:val="both"/>
      </w:pPr>
      <w:r>
        <w:t>- Contatto soggetti lead partner e invio loro della documentazione richiesta per la selezione dei project partner</w:t>
      </w:r>
      <w:r w:rsidR="005B39A9">
        <w:t>;</w:t>
      </w:r>
    </w:p>
    <w:p w14:paraId="646ADDB9" w14:textId="47625C9D" w:rsidR="007A1304" w:rsidRDefault="007A1304" w:rsidP="007A1304">
      <w:pPr>
        <w:spacing w:line="480" w:lineRule="auto"/>
        <w:jc w:val="both"/>
      </w:pPr>
      <w:r>
        <w:t>-</w:t>
      </w:r>
      <w:r w:rsidR="005B39A9">
        <w:t xml:space="preserve"> </w:t>
      </w:r>
      <w:r>
        <w:t>valutazione con il cliente del reale interesse a partecipare al progetto</w:t>
      </w:r>
      <w:r w:rsidR="005B39A9">
        <w:t>.</w:t>
      </w:r>
    </w:p>
    <w:p w14:paraId="20C531FB" w14:textId="0AD7A149" w:rsidR="007A1304" w:rsidRDefault="007A1304" w:rsidP="007A1304">
      <w:pPr>
        <w:spacing w:line="480" w:lineRule="auto"/>
        <w:jc w:val="both"/>
      </w:pPr>
      <w:r>
        <w:t>Per sviluppare tale attività Casalasca Servizi, è autorizzata a proporre il cliente come potenziale partecipante ai progetti che ricercano partner, fermo restando che la valutazione e decisione filiale di partecipare verrà comunque presa dal cliente.</w:t>
      </w:r>
    </w:p>
    <w:p w14:paraId="53592D8C" w14:textId="6A34C2F2" w:rsidR="007A1304" w:rsidRDefault="007A1304" w:rsidP="007A1304">
      <w:pPr>
        <w:spacing w:line="480" w:lineRule="auto"/>
        <w:jc w:val="both"/>
      </w:pPr>
      <w:r>
        <w:lastRenderedPageBreak/>
        <w:t>Con l’affidamento a Casalasca Servizi della presentazione della domanda di finanziamento di qualità di “project partner”, il cliente affida anche l’assistenza alla gestione e rendicontazione</w:t>
      </w:r>
      <w:r w:rsidR="005B39A9">
        <w:t xml:space="preserve"> finale dei progetti finanziati.</w:t>
      </w:r>
    </w:p>
    <w:p w14:paraId="2D3294E3" w14:textId="77777777" w:rsidR="00F75799" w:rsidRPr="00F75799" w:rsidRDefault="00F75799" w:rsidP="00F75799">
      <w:pPr>
        <w:spacing w:line="480" w:lineRule="auto"/>
        <w:jc w:val="both"/>
        <w:rPr>
          <w:b/>
        </w:rPr>
      </w:pPr>
      <w:r w:rsidRPr="00F75799">
        <w:rPr>
          <w:b/>
        </w:rPr>
        <w:t>C) Presentazione domande di finanziamento e iter istituzionale</w:t>
      </w:r>
    </w:p>
    <w:p w14:paraId="155CEE66" w14:textId="791A466C" w:rsidR="00F75799" w:rsidRPr="00F75799" w:rsidRDefault="00F75799" w:rsidP="00F75799">
      <w:pPr>
        <w:spacing w:line="480" w:lineRule="auto"/>
        <w:jc w:val="both"/>
      </w:pPr>
      <w:r w:rsidRPr="00F75799">
        <w:t xml:space="preserve">- Elaborazione e impostazione preliminare del progetto sviluppato in collaborazione tra </w:t>
      </w:r>
      <w:r>
        <w:t>Casalasca Servizi</w:t>
      </w:r>
      <w:r w:rsidRPr="00F75799">
        <w:t xml:space="preserve"> ed il client</w:t>
      </w:r>
      <w:r>
        <w:t>e in merito al bando in oggetto;</w:t>
      </w:r>
    </w:p>
    <w:p w14:paraId="2F24867C" w14:textId="7B772C18" w:rsidR="00F75799" w:rsidRPr="00F75799" w:rsidRDefault="00F75799" w:rsidP="00F75799">
      <w:pPr>
        <w:spacing w:line="480" w:lineRule="auto"/>
        <w:jc w:val="both"/>
      </w:pPr>
      <w:r w:rsidRPr="00F75799">
        <w:t>- Identificazione di personale di riferimento del cliente per l’elaborazione e l</w:t>
      </w:r>
      <w:r>
        <w:t>a predisposizione della pratica;</w:t>
      </w:r>
    </w:p>
    <w:p w14:paraId="274810F9" w14:textId="77777777" w:rsidR="00F75799" w:rsidRPr="00F75799" w:rsidRDefault="00F75799" w:rsidP="00F75799">
      <w:pPr>
        <w:spacing w:line="480" w:lineRule="auto"/>
        <w:jc w:val="both"/>
      </w:pPr>
      <w:r w:rsidRPr="00F75799">
        <w:t>- Assistenza tecnica alla progettazione nella preparazione dell’Application form, del budget, della ricerca partners di progetto, ecc.</w:t>
      </w:r>
    </w:p>
    <w:p w14:paraId="12BFF6B4" w14:textId="25D52CB4" w:rsidR="00F75799" w:rsidRPr="00F75799" w:rsidRDefault="00F75799" w:rsidP="00F75799">
      <w:pPr>
        <w:spacing w:line="480" w:lineRule="auto"/>
        <w:jc w:val="both"/>
      </w:pPr>
      <w:r w:rsidRPr="00F75799">
        <w:t>- Presentazione delle d</w:t>
      </w:r>
      <w:r>
        <w:t>omande presso le sedi opportune;</w:t>
      </w:r>
    </w:p>
    <w:p w14:paraId="69680D7D" w14:textId="4B8FBE0C" w:rsidR="00F75799" w:rsidRPr="00F75799" w:rsidRDefault="00F75799" w:rsidP="00F75799">
      <w:pPr>
        <w:spacing w:line="480" w:lineRule="auto"/>
        <w:jc w:val="both"/>
      </w:pPr>
      <w:r w:rsidRPr="00F75799">
        <w:t>- Costante controllo di tutte le fasi di valutazione del progetto, della sua presentazione all’even</w:t>
      </w:r>
      <w:r>
        <w:t>tuale erogazione del contributo.</w:t>
      </w:r>
    </w:p>
    <w:p w14:paraId="57DA53CB" w14:textId="77777777" w:rsidR="00F75799" w:rsidRPr="00F75799" w:rsidRDefault="00F75799" w:rsidP="00F75799">
      <w:pPr>
        <w:spacing w:line="480" w:lineRule="auto"/>
        <w:jc w:val="both"/>
        <w:rPr>
          <w:b/>
        </w:rPr>
      </w:pPr>
      <w:r w:rsidRPr="00F75799">
        <w:rPr>
          <w:b/>
        </w:rPr>
        <w:t>D) Assistenza tecnica alla gestione e alla rendicontazione finale dei progetti ammessi a finanziamento</w:t>
      </w:r>
    </w:p>
    <w:p w14:paraId="6DCD7559" w14:textId="647A9CE9" w:rsidR="00F75799" w:rsidRPr="00F75799" w:rsidRDefault="00F75799" w:rsidP="00F75799">
      <w:pPr>
        <w:spacing w:line="480" w:lineRule="auto"/>
        <w:jc w:val="both"/>
      </w:pPr>
      <w:r w:rsidRPr="00F75799">
        <w:t>- Assistenza tecnica alla gestione ed attuazione di progetti ammessi a finanziamento, (gestione dei partner meeting di progetto, gestione dei rapporti con i partner e con l’UE…)</w:t>
      </w:r>
      <w:r>
        <w:t>;</w:t>
      </w:r>
    </w:p>
    <w:p w14:paraId="458F834E" w14:textId="77777777" w:rsidR="00F75799" w:rsidRDefault="00F75799" w:rsidP="007A1304">
      <w:pPr>
        <w:spacing w:line="480" w:lineRule="auto"/>
        <w:jc w:val="both"/>
      </w:pPr>
      <w:r w:rsidRPr="00F75799">
        <w:t>- Assistenza in itinere ed ex post alla rendicontazione tecnica ed amministrativa del progetto, attraverso la rendicontazione delle spese, il confezionamento della documentazione e la predisposizione del report narrativo riguardo alle</w:t>
      </w:r>
      <w:r>
        <w:t xml:space="preserve"> intermediate e final report;</w:t>
      </w:r>
    </w:p>
    <w:p w14:paraId="6C4923EC" w14:textId="77777777" w:rsidR="00F75799" w:rsidRDefault="00922074" w:rsidP="00F75799">
      <w:pPr>
        <w:pStyle w:val="Paragrafoelenco"/>
        <w:numPr>
          <w:ilvl w:val="0"/>
          <w:numId w:val="10"/>
        </w:numPr>
        <w:spacing w:line="480" w:lineRule="auto"/>
        <w:jc w:val="both"/>
      </w:pPr>
      <w:r w:rsidRPr="00922074">
        <w:t>prestare consulenza alla messa in opera delle azioni previste dai bandi;</w:t>
      </w:r>
    </w:p>
    <w:p w14:paraId="7B81FE45" w14:textId="1140C781" w:rsidR="00F75799" w:rsidRDefault="00922074" w:rsidP="00F75799">
      <w:pPr>
        <w:pStyle w:val="Paragrafoelenco"/>
        <w:numPr>
          <w:ilvl w:val="0"/>
          <w:numId w:val="10"/>
        </w:numPr>
        <w:spacing w:line="480" w:lineRule="auto"/>
        <w:jc w:val="both"/>
      </w:pPr>
      <w:r w:rsidRPr="00922074">
        <w:t xml:space="preserve">fornire </w:t>
      </w:r>
      <w:r w:rsidR="00F75799">
        <w:t>agli enti</w:t>
      </w:r>
      <w:r w:rsidRPr="00922074">
        <w:t xml:space="preserve"> relazioni puntuali sullo stato di avanzamento delle attività;</w:t>
      </w:r>
    </w:p>
    <w:p w14:paraId="7D4D7664" w14:textId="77777777" w:rsidR="005B39A9" w:rsidRDefault="00922074" w:rsidP="00F75799">
      <w:pPr>
        <w:pStyle w:val="Paragrafoelenco"/>
        <w:numPr>
          <w:ilvl w:val="0"/>
          <w:numId w:val="10"/>
        </w:numPr>
        <w:spacing w:line="480" w:lineRule="auto"/>
        <w:jc w:val="both"/>
      </w:pPr>
      <w:r w:rsidRPr="00922074">
        <w:t>rendicontare le azioni pr</w:t>
      </w:r>
      <w:r w:rsidR="00F75799">
        <w:t>ogettuali oggetto di contributo.</w:t>
      </w:r>
    </w:p>
    <w:p w14:paraId="5C015A9C" w14:textId="53EC40F9" w:rsidR="009D0136" w:rsidRDefault="006C6BEB" w:rsidP="005B39A9">
      <w:pPr>
        <w:spacing w:line="480" w:lineRule="auto"/>
        <w:jc w:val="both"/>
      </w:pPr>
      <w:r>
        <w:lastRenderedPageBreak/>
        <w:t>Queste attività potranno</w:t>
      </w:r>
      <w:r w:rsidR="00992070" w:rsidRPr="00992070">
        <w:t xml:space="preserve"> essere ricondotte alle seguenti Macroaree:  Area “Informazione e documentazione” (attività di informazione interna ed esterna) Area “Animazione territoriale” Area “Consu</w:t>
      </w:r>
      <w:r w:rsidR="00D55FFC">
        <w:t>lenza e assistenza progettuale”</w:t>
      </w:r>
      <w:r w:rsidR="001E142C">
        <w:t xml:space="preserve"> </w:t>
      </w:r>
      <w:r w:rsidR="00CE7140">
        <w:t xml:space="preserve">ed </w:t>
      </w:r>
      <w:r w:rsidR="00992070" w:rsidRPr="00992070">
        <w:t>Area “Gestione progetti e partenariati”</w:t>
      </w:r>
      <w:r w:rsidR="00922074">
        <w:t>.</w:t>
      </w:r>
      <w:r w:rsidR="00992070" w:rsidRPr="00992070">
        <w:t xml:space="preserve">   </w:t>
      </w:r>
    </w:p>
    <w:p w14:paraId="3AFDEB17" w14:textId="77777777" w:rsidR="00922074" w:rsidRPr="00922074" w:rsidRDefault="00922074" w:rsidP="00922074">
      <w:pPr>
        <w:rPr>
          <w:u w:val="single"/>
        </w:rPr>
      </w:pPr>
      <w:r w:rsidRPr="00922074">
        <w:rPr>
          <w:b/>
          <w:bCs/>
          <w:u w:val="single"/>
        </w:rPr>
        <w:t xml:space="preserve">LA PROMOZIONE </w:t>
      </w:r>
      <w:r w:rsidR="002B7722">
        <w:rPr>
          <w:b/>
          <w:bCs/>
          <w:u w:val="single"/>
        </w:rPr>
        <w:t>DELLO SPORTELLO RICERCA FONDI SOVRACOMUNALE</w:t>
      </w:r>
    </w:p>
    <w:p w14:paraId="3A3091B8" w14:textId="2EDDDB11" w:rsidR="00922074" w:rsidRPr="00922074" w:rsidRDefault="00922074" w:rsidP="00C47F60">
      <w:pPr>
        <w:spacing w:line="480" w:lineRule="auto"/>
        <w:jc w:val="both"/>
      </w:pPr>
      <w:r w:rsidRPr="00922074">
        <w:t>L’evolversi degli scenari nella comunicazione dei servizi ha modificato il modo di porsi nei confronti degli strumenti tradizionali di comunicazione, rafforzando l’approccio multimediale, in funzione dell’obiettivo e del risultato. La diffusione delle tecnologie multimediali costituisce una chiave di volta sia nell’accesso che nella promozione dei serv</w:t>
      </w:r>
      <w:r w:rsidR="005B39A9">
        <w:t>izi dello Sportello</w:t>
      </w:r>
      <w:r w:rsidRPr="00922074">
        <w:t>.</w:t>
      </w:r>
    </w:p>
    <w:p w14:paraId="74531ACE" w14:textId="3E086C1E" w:rsidR="00922074" w:rsidRPr="00922074" w:rsidRDefault="00922074" w:rsidP="00C47F60">
      <w:pPr>
        <w:spacing w:line="480" w:lineRule="auto"/>
        <w:jc w:val="both"/>
      </w:pPr>
      <w:r w:rsidRPr="00922074">
        <w:t xml:space="preserve">Per facilitare lo start-up dell’Ufficio e promuoverne il ruolo sia verso </w:t>
      </w:r>
      <w:r>
        <w:t>le Amministrazioni</w:t>
      </w:r>
      <w:r w:rsidRPr="00922074">
        <w:t xml:space="preserve"> di riferimento che verso i cittadini, </w:t>
      </w:r>
      <w:r w:rsidR="00C47F60">
        <w:t>si predispo</w:t>
      </w:r>
      <w:r w:rsidR="006C6BEB">
        <w:t>r</w:t>
      </w:r>
      <w:r w:rsidR="00C47F60">
        <w:t>rà</w:t>
      </w:r>
      <w:r w:rsidRPr="00922074">
        <w:t xml:space="preserve"> una campagna di comunicazione finalizzata a comunicare al territorio l’apertura del nu</w:t>
      </w:r>
      <w:r w:rsidR="00C47F60">
        <w:t xml:space="preserve">ovo </w:t>
      </w:r>
      <w:r w:rsidR="005B39A9">
        <w:t xml:space="preserve">sportello ed </w:t>
      </w:r>
      <w:r w:rsidR="00C47F60">
        <w:t>i servizi offerti</w:t>
      </w:r>
      <w:r w:rsidRPr="00922074">
        <w:t xml:space="preserve">. </w:t>
      </w:r>
    </w:p>
    <w:p w14:paraId="33383E4F" w14:textId="77777777" w:rsidR="00922074" w:rsidRPr="00922074" w:rsidRDefault="00922074" w:rsidP="00C47F60">
      <w:pPr>
        <w:spacing w:line="480" w:lineRule="auto"/>
        <w:jc w:val="both"/>
      </w:pPr>
      <w:r w:rsidRPr="00922074">
        <w:t xml:space="preserve">Superata la fase di start up, </w:t>
      </w:r>
      <w:r w:rsidR="002B7722">
        <w:t>lo “</w:t>
      </w:r>
      <w:r w:rsidR="002B7722" w:rsidRPr="002B7722">
        <w:rPr>
          <w:b/>
          <w:bCs/>
          <w:i/>
          <w:iCs/>
        </w:rPr>
        <w:t>SPORTELLO RICERCA FONDI SOVRACOMUNALE</w:t>
      </w:r>
      <w:r w:rsidR="002B7722">
        <w:t xml:space="preserve">” </w:t>
      </w:r>
      <w:r w:rsidR="00C47F60">
        <w:t>organizzerà</w:t>
      </w:r>
      <w:r w:rsidRPr="00922074">
        <w:t xml:space="preserve"> attività volte alla promozione dell’idea </w:t>
      </w:r>
      <w:r w:rsidR="00C47F60">
        <w:t>di finanza agevolata</w:t>
      </w:r>
      <w:r w:rsidRPr="00922074">
        <w:t>, con le quali si promuove</w:t>
      </w:r>
      <w:r w:rsidR="00C47F60">
        <w:t>rà</w:t>
      </w:r>
      <w:r w:rsidRPr="00922074">
        <w:t xml:space="preserve"> anche l’ufficio. </w:t>
      </w:r>
    </w:p>
    <w:p w14:paraId="0FBB1EB7" w14:textId="77777777" w:rsidR="00C47F60" w:rsidRPr="00C47F60" w:rsidRDefault="00C47F60" w:rsidP="00C47F60">
      <w:pPr>
        <w:rPr>
          <w:b/>
          <w:u w:val="single"/>
        </w:rPr>
      </w:pPr>
      <w:r w:rsidRPr="00C47F60">
        <w:rPr>
          <w:b/>
          <w:u w:val="single"/>
        </w:rPr>
        <w:t>DURATA DELL’INCARICO</w:t>
      </w:r>
    </w:p>
    <w:p w14:paraId="7F4C6E33" w14:textId="394BE090" w:rsidR="00DB7751" w:rsidRPr="00414A33" w:rsidRDefault="00C47F60" w:rsidP="00414A33">
      <w:pPr>
        <w:jc w:val="both"/>
      </w:pPr>
      <w:r>
        <w:t>La durata dell’incarico decorre dalla data di esecutività della Deliberazione Giuntale e fino a 31/12/</w:t>
      </w:r>
      <w:r w:rsidR="002B7722">
        <w:t>2020</w:t>
      </w:r>
    </w:p>
    <w:p w14:paraId="322C8A52" w14:textId="77777777" w:rsidR="00DB7751" w:rsidRDefault="00DB7751" w:rsidP="009D0136">
      <w:pPr>
        <w:rPr>
          <w:b/>
          <w:u w:val="single"/>
        </w:rPr>
      </w:pPr>
    </w:p>
    <w:p w14:paraId="352C1EDA" w14:textId="65BABBBC" w:rsidR="00D55FFC" w:rsidRDefault="00D55FFC" w:rsidP="009D0136">
      <w:pPr>
        <w:rPr>
          <w:b/>
          <w:u w:val="single"/>
        </w:rPr>
      </w:pPr>
      <w:r>
        <w:rPr>
          <w:b/>
          <w:u w:val="single"/>
        </w:rPr>
        <w:t>PIANO FINANZIARIO</w:t>
      </w:r>
    </w:p>
    <w:tbl>
      <w:tblPr>
        <w:tblStyle w:val="ListTable3Accent6"/>
        <w:tblW w:w="0" w:type="auto"/>
        <w:tblLook w:val="00E0" w:firstRow="1" w:lastRow="1" w:firstColumn="1" w:lastColumn="0" w:noHBand="0" w:noVBand="0"/>
      </w:tblPr>
      <w:tblGrid>
        <w:gridCol w:w="4889"/>
        <w:gridCol w:w="4889"/>
      </w:tblGrid>
      <w:tr w:rsidR="00D55FFC" w14:paraId="3FB99A3B" w14:textId="77777777" w:rsidTr="00D5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</w:tcPr>
          <w:p w14:paraId="4FD07466" w14:textId="0E70346A" w:rsidR="00D55FFC" w:rsidRPr="00D55FFC" w:rsidRDefault="00D55FFC" w:rsidP="00D55FFC">
            <w:pPr>
              <w:jc w:val="center"/>
              <w:rPr>
                <w:b w:val="0"/>
              </w:rPr>
            </w:pPr>
            <w:r w:rsidRPr="00D55FFC">
              <w:rPr>
                <w:b w:val="0"/>
              </w:rPr>
              <w:t>VOCI DI SPESA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14:paraId="0B0E5402" w14:textId="01976D1A" w:rsidR="00D55FFC" w:rsidRPr="00D55FFC" w:rsidRDefault="00D55FFC" w:rsidP="00D55FFC">
            <w:pPr>
              <w:jc w:val="center"/>
              <w:rPr>
                <w:b w:val="0"/>
              </w:rPr>
            </w:pPr>
            <w:r w:rsidRPr="00D55FFC">
              <w:rPr>
                <w:b w:val="0"/>
              </w:rPr>
              <w:t>COSTI</w:t>
            </w:r>
          </w:p>
        </w:tc>
      </w:tr>
      <w:tr w:rsidR="00D55FFC" w14:paraId="34958C3B" w14:textId="77777777" w:rsidTr="00D5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E5EAA8A" w14:textId="29412077" w:rsidR="00D55FFC" w:rsidRDefault="00D55FFC" w:rsidP="009D0136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14:paraId="20C1598F" w14:textId="4F0EEB8C" w:rsidR="00D55FFC" w:rsidRPr="00790440" w:rsidRDefault="00D55FFC" w:rsidP="00790440">
            <w:pPr>
              <w:jc w:val="right"/>
            </w:pPr>
            <w:r w:rsidRPr="00790440">
              <w:t xml:space="preserve">€ </w:t>
            </w:r>
            <w:r w:rsidR="00790440" w:rsidRPr="00790440">
              <w:t>76.500</w:t>
            </w:r>
            <w:r w:rsidRPr="00790440">
              <w:t>,00</w:t>
            </w:r>
          </w:p>
        </w:tc>
      </w:tr>
      <w:tr w:rsidR="00D55FFC" w14:paraId="1933DEBD" w14:textId="77777777" w:rsidTr="00D5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68317FA2" w14:textId="42873A8A" w:rsidR="00D55FFC" w:rsidRDefault="00D55FFC" w:rsidP="009D0136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Utenze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14:paraId="4DFA5FA3" w14:textId="58DDA626" w:rsidR="00D55FFC" w:rsidRPr="00790440" w:rsidRDefault="00D55FFC" w:rsidP="00790440">
            <w:pPr>
              <w:jc w:val="right"/>
            </w:pPr>
            <w:r w:rsidRPr="00790440">
              <w:t>€ 2.500,00</w:t>
            </w:r>
          </w:p>
        </w:tc>
      </w:tr>
      <w:tr w:rsidR="00D55FFC" w14:paraId="09DB95EA" w14:textId="77777777" w:rsidTr="00D5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75F4A910" w14:textId="62999EA1" w:rsidR="00D55FFC" w:rsidRDefault="00790440" w:rsidP="009D0136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Spese generali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14:paraId="4606B1B0" w14:textId="078293B6" w:rsidR="00D55FFC" w:rsidRPr="00790440" w:rsidRDefault="00790440" w:rsidP="00790440">
            <w:pPr>
              <w:jc w:val="right"/>
            </w:pPr>
            <w:r w:rsidRPr="00790440">
              <w:t>€ 4.000,00</w:t>
            </w:r>
          </w:p>
        </w:tc>
      </w:tr>
      <w:tr w:rsidR="00D55FFC" w14:paraId="0CFE9E73" w14:textId="77777777" w:rsidTr="00D5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812F7D7" w14:textId="3A67656C" w:rsidR="00D55FFC" w:rsidRDefault="00790440" w:rsidP="009D0136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Cancelleria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14:paraId="1ABAD809" w14:textId="079558F6" w:rsidR="00D55FFC" w:rsidRPr="00790440" w:rsidRDefault="00790440" w:rsidP="00790440">
            <w:pPr>
              <w:jc w:val="right"/>
            </w:pPr>
            <w:r w:rsidRPr="00790440">
              <w:t>€ 1.000,00</w:t>
            </w:r>
          </w:p>
        </w:tc>
      </w:tr>
      <w:tr w:rsidR="00D55FFC" w14:paraId="378780E1" w14:textId="77777777" w:rsidTr="00D55F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889" w:type="dxa"/>
          </w:tcPr>
          <w:p w14:paraId="1F1158B4" w14:textId="0A6F2A69" w:rsidR="00D55FFC" w:rsidRPr="00790440" w:rsidRDefault="00790440" w:rsidP="009D0136">
            <w:r w:rsidRPr="00790440">
              <w:t>COSTO COMPLESSIVO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14:paraId="7784AA55" w14:textId="2BAABF65" w:rsidR="00D55FFC" w:rsidRPr="00790440" w:rsidRDefault="00790440" w:rsidP="00790440">
            <w:pPr>
              <w:jc w:val="right"/>
            </w:pPr>
            <w:r w:rsidRPr="00790440">
              <w:t>€ 84.000,00</w:t>
            </w:r>
          </w:p>
        </w:tc>
      </w:tr>
    </w:tbl>
    <w:p w14:paraId="3D2EFB4A" w14:textId="77777777" w:rsidR="00CE7140" w:rsidRPr="00D55FFC" w:rsidRDefault="00CE7140" w:rsidP="009D0136"/>
    <w:p w14:paraId="4A39895C" w14:textId="77777777" w:rsidR="00D55FFC" w:rsidRDefault="00D55FFC" w:rsidP="009D0136">
      <w:pPr>
        <w:rPr>
          <w:sz w:val="18"/>
        </w:rPr>
      </w:pPr>
    </w:p>
    <w:p w14:paraId="1C57753A" w14:textId="5B34ED3B" w:rsidR="00D55FFC" w:rsidRPr="00D55FFC" w:rsidRDefault="00D55FFC" w:rsidP="009D0136">
      <w:pPr>
        <w:rPr>
          <w:b/>
          <w:u w:val="single"/>
        </w:rPr>
      </w:pPr>
      <w:r w:rsidRPr="00D55FFC">
        <w:rPr>
          <w:b/>
          <w:u w:val="single"/>
        </w:rPr>
        <w:t>SUDDIVISIONE QUOTA COMUNE PER FASCIA DI ABITANTI</w:t>
      </w:r>
    </w:p>
    <w:tbl>
      <w:tblPr>
        <w:tblStyle w:val="ListTable6ColorfulAccent6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55FFC" w:rsidRPr="00D55FFC" w14:paraId="3DA46CB1" w14:textId="77777777" w:rsidTr="00D5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55CE9ACD" w14:textId="6207CAF6" w:rsidR="00D55FFC" w:rsidRPr="00D55FFC" w:rsidRDefault="00D55FFC" w:rsidP="00D55FFC">
            <w:pPr>
              <w:jc w:val="both"/>
            </w:pPr>
            <w:r>
              <w:t>FASCIA ABITANTI PER COMUNE</w:t>
            </w:r>
          </w:p>
        </w:tc>
        <w:tc>
          <w:tcPr>
            <w:tcW w:w="4889" w:type="dxa"/>
          </w:tcPr>
          <w:p w14:paraId="72157E8A" w14:textId="0286AC76" w:rsidR="00D55FFC" w:rsidRPr="00D55FFC" w:rsidRDefault="00D55FFC" w:rsidP="00D55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D55FFC">
              <w:t>COSTO ANNUALE IVA INCLUSA</w:t>
            </w:r>
          </w:p>
        </w:tc>
      </w:tr>
      <w:tr w:rsidR="00D55FFC" w:rsidRPr="00D55FFC" w14:paraId="0E07267E" w14:textId="77777777" w:rsidTr="00D5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67EAA62E" w14:textId="0E9920FA" w:rsidR="00D55FFC" w:rsidRPr="00D55FFC" w:rsidRDefault="00D55FFC" w:rsidP="00D55FFC">
            <w:pPr>
              <w:jc w:val="both"/>
            </w:pPr>
            <w:r w:rsidRPr="00D55FFC">
              <w:lastRenderedPageBreak/>
              <w:t>Da 0 a 5000 abitanti</w:t>
            </w:r>
          </w:p>
        </w:tc>
        <w:tc>
          <w:tcPr>
            <w:tcW w:w="4889" w:type="dxa"/>
          </w:tcPr>
          <w:p w14:paraId="2FF6116C" w14:textId="6A7110A9" w:rsidR="00D55FFC" w:rsidRPr="00D55FFC" w:rsidRDefault="00D55FFC" w:rsidP="00D55F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FFC">
              <w:t>€ 4.000,00</w:t>
            </w:r>
          </w:p>
        </w:tc>
      </w:tr>
      <w:tr w:rsidR="00D55FFC" w:rsidRPr="00D55FFC" w14:paraId="0637F7CD" w14:textId="77777777" w:rsidTr="00D55FF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35C6379" w14:textId="584F7BB1" w:rsidR="00D55FFC" w:rsidRPr="00D55FFC" w:rsidRDefault="00D55FFC" w:rsidP="00D55FFC">
            <w:pPr>
              <w:jc w:val="both"/>
            </w:pPr>
            <w:r w:rsidRPr="00D55FFC">
              <w:t>Da 5001 a 10000 abitanti</w:t>
            </w:r>
          </w:p>
        </w:tc>
        <w:tc>
          <w:tcPr>
            <w:tcW w:w="4889" w:type="dxa"/>
          </w:tcPr>
          <w:p w14:paraId="4A60FF89" w14:textId="5E496459" w:rsidR="00D55FFC" w:rsidRPr="00D55FFC" w:rsidRDefault="00D55FFC" w:rsidP="00D55F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FFC">
              <w:t>€ 6.000,00</w:t>
            </w:r>
          </w:p>
        </w:tc>
      </w:tr>
      <w:tr w:rsidR="00D55FFC" w:rsidRPr="00D55FFC" w14:paraId="21799FFA" w14:textId="77777777" w:rsidTr="00D55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2C2A1C76" w14:textId="0392E371" w:rsidR="00D55FFC" w:rsidRPr="00D55FFC" w:rsidRDefault="00D55FFC" w:rsidP="00D55FFC">
            <w:pPr>
              <w:jc w:val="both"/>
            </w:pPr>
            <w:r w:rsidRPr="00D55FFC">
              <w:t>Da 10001 ed oltre</w:t>
            </w:r>
            <w:r>
              <w:t xml:space="preserve"> </w:t>
            </w:r>
          </w:p>
        </w:tc>
        <w:tc>
          <w:tcPr>
            <w:tcW w:w="4889" w:type="dxa"/>
          </w:tcPr>
          <w:p w14:paraId="66929C0E" w14:textId="409B9E3F" w:rsidR="00D55FFC" w:rsidRPr="00D55FFC" w:rsidRDefault="00D55FFC" w:rsidP="00D55F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FFC">
              <w:t>€ 10.000,00</w:t>
            </w:r>
          </w:p>
        </w:tc>
      </w:tr>
    </w:tbl>
    <w:p w14:paraId="7B21CFFC" w14:textId="77777777" w:rsidR="00D55FFC" w:rsidRPr="00D55FFC" w:rsidRDefault="00D55FFC" w:rsidP="009D0136">
      <w:pPr>
        <w:rPr>
          <w:sz w:val="24"/>
        </w:rPr>
      </w:pPr>
    </w:p>
    <w:sectPr w:rsidR="00D55FFC" w:rsidRPr="00D55FF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BD5D" w14:textId="77777777" w:rsidR="00EE56C3" w:rsidRDefault="00EE56C3" w:rsidP="0076380A">
      <w:pPr>
        <w:spacing w:after="0" w:line="240" w:lineRule="auto"/>
      </w:pPr>
      <w:r>
        <w:separator/>
      </w:r>
    </w:p>
  </w:endnote>
  <w:endnote w:type="continuationSeparator" w:id="0">
    <w:p w14:paraId="63D91EEC" w14:textId="77777777" w:rsidR="00EE56C3" w:rsidRDefault="00EE56C3" w:rsidP="0076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18D6" w14:textId="77777777" w:rsidR="002B7722" w:rsidRDefault="002B7722" w:rsidP="00F76C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EF8ADC" w14:textId="77777777" w:rsidR="002B7722" w:rsidRDefault="002B7722" w:rsidP="002B77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7DF2" w14:textId="77777777" w:rsidR="002B7722" w:rsidRDefault="002B7722" w:rsidP="00F76C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286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E177299" w14:textId="77777777" w:rsidR="002B7722" w:rsidRDefault="002B7722" w:rsidP="002B77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F968" w14:textId="77777777" w:rsidR="00EE56C3" w:rsidRDefault="00EE56C3" w:rsidP="0076380A">
      <w:pPr>
        <w:spacing w:after="0" w:line="240" w:lineRule="auto"/>
      </w:pPr>
      <w:r>
        <w:separator/>
      </w:r>
    </w:p>
  </w:footnote>
  <w:footnote w:type="continuationSeparator" w:id="0">
    <w:p w14:paraId="7F6F9666" w14:textId="77777777" w:rsidR="00EE56C3" w:rsidRDefault="00EE56C3" w:rsidP="0076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7"/>
      <w:gridCol w:w="1812"/>
      <w:gridCol w:w="3851"/>
    </w:tblGrid>
    <w:tr w:rsidR="00BB43B6" w:rsidRPr="008E0D90" w14:paraId="7CB0747C" w14:textId="77777777" w:rsidTr="0076380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CB6DAD3" w14:textId="77777777" w:rsidR="00BB43B6" w:rsidRPr="0076380A" w:rsidRDefault="00BB43B6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DF5A1CD" w14:textId="77777777" w:rsidR="00BB43B6" w:rsidRPr="0076380A" w:rsidRDefault="00BB43B6">
          <w:pPr>
            <w:pStyle w:val="Grigliamedia21"/>
            <w:rPr>
              <w:rFonts w:ascii="Cambria" w:hAnsi="Cambria"/>
              <w:color w:val="4F81BD"/>
              <w:szCs w:val="20"/>
            </w:rPr>
          </w:pPr>
          <w:r w:rsidRPr="0076380A">
            <w:rPr>
              <w:rFonts w:ascii="Cambria" w:hAnsi="Cambria"/>
              <w:color w:val="4F81BD"/>
            </w:rPr>
            <w:t>[Digitare il testo]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34D0472" w14:textId="77777777" w:rsidR="00BB43B6" w:rsidRPr="0076380A" w:rsidRDefault="00BB43B6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BB43B6" w:rsidRPr="008E0D90" w14:paraId="7965FCA1" w14:textId="77777777" w:rsidTr="0076380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871A88B" w14:textId="77777777" w:rsidR="00BB43B6" w:rsidRPr="0076380A" w:rsidRDefault="00BB43B6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5B5B9AC3" w14:textId="77777777" w:rsidR="00BB43B6" w:rsidRPr="0076380A" w:rsidRDefault="00BB43B6">
          <w:pPr>
            <w:spacing w:after="0" w:line="240" w:lineRule="auto"/>
            <w:rPr>
              <w:rFonts w:ascii="Cambria" w:hAnsi="Cambria"/>
              <w:color w:val="4F81BD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44D0281" w14:textId="77777777" w:rsidR="00BB43B6" w:rsidRPr="0076380A" w:rsidRDefault="00BB43B6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5899B0A9" w14:textId="77777777" w:rsidR="00BB43B6" w:rsidRDefault="00BB43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BD0C" w14:textId="60476A2B" w:rsidR="00BB43B6" w:rsidRPr="002B7722" w:rsidRDefault="00BB43B6" w:rsidP="002B7722">
    <w:pPr>
      <w:pStyle w:val="Intestazion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4C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D4EE7"/>
    <w:multiLevelType w:val="hybridMultilevel"/>
    <w:tmpl w:val="7E18C5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3DEB"/>
    <w:multiLevelType w:val="hybridMultilevel"/>
    <w:tmpl w:val="63F65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8FD"/>
    <w:multiLevelType w:val="hybridMultilevel"/>
    <w:tmpl w:val="AE28DFD6"/>
    <w:lvl w:ilvl="0" w:tplc="5B4CE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DB1"/>
    <w:multiLevelType w:val="hybridMultilevel"/>
    <w:tmpl w:val="BE6A7E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17054F4"/>
    <w:multiLevelType w:val="hybridMultilevel"/>
    <w:tmpl w:val="B61A79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64377"/>
    <w:multiLevelType w:val="hybridMultilevel"/>
    <w:tmpl w:val="D3F03538"/>
    <w:lvl w:ilvl="0" w:tplc="A7B44EA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94EAB"/>
    <w:multiLevelType w:val="hybridMultilevel"/>
    <w:tmpl w:val="66A2E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87C8F"/>
    <w:multiLevelType w:val="hybridMultilevel"/>
    <w:tmpl w:val="A1027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25412F"/>
    <w:multiLevelType w:val="hybridMultilevel"/>
    <w:tmpl w:val="D116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6"/>
    <w:rsid w:val="000477DA"/>
    <w:rsid w:val="00063501"/>
    <w:rsid w:val="000B51C5"/>
    <w:rsid w:val="0019053E"/>
    <w:rsid w:val="001E142C"/>
    <w:rsid w:val="002B7722"/>
    <w:rsid w:val="003C1E47"/>
    <w:rsid w:val="00414A33"/>
    <w:rsid w:val="005B39A9"/>
    <w:rsid w:val="00612B80"/>
    <w:rsid w:val="006C6BEB"/>
    <w:rsid w:val="006E01CC"/>
    <w:rsid w:val="0076380A"/>
    <w:rsid w:val="00790440"/>
    <w:rsid w:val="007A1304"/>
    <w:rsid w:val="007D273E"/>
    <w:rsid w:val="007F4AE5"/>
    <w:rsid w:val="008214E3"/>
    <w:rsid w:val="0083120C"/>
    <w:rsid w:val="00922074"/>
    <w:rsid w:val="00992070"/>
    <w:rsid w:val="009D0136"/>
    <w:rsid w:val="009D155A"/>
    <w:rsid w:val="009F01A3"/>
    <w:rsid w:val="00A229F0"/>
    <w:rsid w:val="00A549EC"/>
    <w:rsid w:val="00A713DA"/>
    <w:rsid w:val="00B52867"/>
    <w:rsid w:val="00BA79BB"/>
    <w:rsid w:val="00BB43B6"/>
    <w:rsid w:val="00C36C4A"/>
    <w:rsid w:val="00C47F60"/>
    <w:rsid w:val="00CE7140"/>
    <w:rsid w:val="00D55FFC"/>
    <w:rsid w:val="00DB7751"/>
    <w:rsid w:val="00E105A2"/>
    <w:rsid w:val="00E17EFF"/>
    <w:rsid w:val="00E47B70"/>
    <w:rsid w:val="00EB0067"/>
    <w:rsid w:val="00EE56C3"/>
    <w:rsid w:val="00F54122"/>
    <w:rsid w:val="00F6104A"/>
    <w:rsid w:val="00F75799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E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80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3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380A"/>
    <w:rPr>
      <w:sz w:val="22"/>
      <w:szCs w:val="22"/>
      <w:lang w:eastAsia="en-US"/>
    </w:rPr>
  </w:style>
  <w:style w:type="paragraph" w:customStyle="1" w:styleId="Grigliamedia21">
    <w:name w:val="Griglia media 21"/>
    <w:link w:val="Grigliamedia2Carattere"/>
    <w:qFormat/>
    <w:rsid w:val="0076380A"/>
    <w:rPr>
      <w:rFonts w:ascii="PMingLiU" w:eastAsia="MS Mincho" w:hAnsi="PMingLiU"/>
      <w:sz w:val="22"/>
      <w:szCs w:val="22"/>
    </w:rPr>
  </w:style>
  <w:style w:type="character" w:customStyle="1" w:styleId="Grigliamedia2Carattere">
    <w:name w:val="Griglia media 2 Carattere"/>
    <w:link w:val="Grigliamedia21"/>
    <w:rsid w:val="0076380A"/>
    <w:rPr>
      <w:rFonts w:ascii="PMingLiU" w:eastAsia="MS Mincho" w:hAnsi="PMingLiU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2B7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F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72"/>
    <w:unhideWhenUsed/>
    <w:rsid w:val="00F757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Tabellanormale"/>
    <w:uiPriority w:val="47"/>
    <w:rsid w:val="00D55FF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Accent6">
    <w:name w:val="List Table 5 Dark Accent 6"/>
    <w:basedOn w:val="Tabellanormale"/>
    <w:uiPriority w:val="50"/>
    <w:rsid w:val="00D55FF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6">
    <w:name w:val="List Table 6 Colorful Accent 6"/>
    <w:basedOn w:val="Tabellanormale"/>
    <w:uiPriority w:val="51"/>
    <w:rsid w:val="00D55F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Tabellanormale"/>
    <w:uiPriority w:val="48"/>
    <w:rsid w:val="00D55F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3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80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3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380A"/>
    <w:rPr>
      <w:sz w:val="22"/>
      <w:szCs w:val="22"/>
      <w:lang w:eastAsia="en-US"/>
    </w:rPr>
  </w:style>
  <w:style w:type="paragraph" w:customStyle="1" w:styleId="Grigliamedia21">
    <w:name w:val="Griglia media 21"/>
    <w:link w:val="Grigliamedia2Carattere"/>
    <w:qFormat/>
    <w:rsid w:val="0076380A"/>
    <w:rPr>
      <w:rFonts w:ascii="PMingLiU" w:eastAsia="MS Mincho" w:hAnsi="PMingLiU"/>
      <w:sz w:val="22"/>
      <w:szCs w:val="22"/>
    </w:rPr>
  </w:style>
  <w:style w:type="character" w:customStyle="1" w:styleId="Grigliamedia2Carattere">
    <w:name w:val="Griglia media 2 Carattere"/>
    <w:link w:val="Grigliamedia21"/>
    <w:rsid w:val="0076380A"/>
    <w:rPr>
      <w:rFonts w:ascii="PMingLiU" w:eastAsia="MS Mincho" w:hAnsi="PMingLiU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2B7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EF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72"/>
    <w:unhideWhenUsed/>
    <w:rsid w:val="00F757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6">
    <w:name w:val="Grid Table 2 Accent 6"/>
    <w:basedOn w:val="Tabellanormale"/>
    <w:uiPriority w:val="47"/>
    <w:rsid w:val="00D55FF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Accent6">
    <w:name w:val="List Table 5 Dark Accent 6"/>
    <w:basedOn w:val="Tabellanormale"/>
    <w:uiPriority w:val="50"/>
    <w:rsid w:val="00D55FF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6">
    <w:name w:val="List Table 6 Colorful Accent 6"/>
    <w:basedOn w:val="Tabellanormale"/>
    <w:uiPriority w:val="51"/>
    <w:rsid w:val="00D55F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Tabellanormale"/>
    <w:uiPriority w:val="48"/>
    <w:rsid w:val="00D55F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8B355-F136-4A21-8B84-A90950A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Cavalli</dc:creator>
  <cp:lastModifiedBy>Segreteria2</cp:lastModifiedBy>
  <cp:revision>2</cp:revision>
  <cp:lastPrinted>2017-12-12T09:30:00Z</cp:lastPrinted>
  <dcterms:created xsi:type="dcterms:W3CDTF">2018-09-01T08:17:00Z</dcterms:created>
  <dcterms:modified xsi:type="dcterms:W3CDTF">2018-09-01T08:17:00Z</dcterms:modified>
</cp:coreProperties>
</file>