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22EB" w14:textId="11C48565" w:rsidR="002004CD" w:rsidRDefault="002004CD" w:rsidP="002004CD">
      <w:pPr>
        <w:rPr>
          <w:rFonts w:cs="Calibri"/>
          <w:b/>
          <w:bCs/>
          <w:sz w:val="24"/>
          <w:szCs w:val="24"/>
        </w:rPr>
      </w:pPr>
      <w:r>
        <w:rPr>
          <w:rFonts w:cs="Calibri"/>
          <w:sz w:val="24"/>
          <w:szCs w:val="24"/>
        </w:rPr>
        <w:t xml:space="preserve">Contratto di Servizio - Allegato n. 10 </w:t>
      </w:r>
    </w:p>
    <w:p w14:paraId="7D33CAA3" w14:textId="5D376E59" w:rsidR="009D0E64" w:rsidRPr="009D0E64" w:rsidRDefault="009D0E64" w:rsidP="009D0E64">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Calibri"/>
          <w:b/>
          <w:bCs/>
          <w:sz w:val="24"/>
          <w:szCs w:val="24"/>
          <w:lang w:eastAsia="it-IT"/>
        </w:rPr>
      </w:pPr>
      <w:r w:rsidRPr="009D0E64">
        <w:rPr>
          <w:rFonts w:cs="Calibri"/>
          <w:b/>
          <w:bCs/>
          <w:sz w:val="24"/>
          <w:szCs w:val="24"/>
          <w:lang w:eastAsia="it-IT"/>
        </w:rPr>
        <w:t xml:space="preserve">CAPITOLATO TECNICO PER L'AFFIDAMENTO DEL SERVIZIO DI: Servizio di Mediazione </w:t>
      </w:r>
      <w:r w:rsidR="0065556F">
        <w:rPr>
          <w:rFonts w:cs="Calibri"/>
          <w:b/>
          <w:bCs/>
          <w:sz w:val="24"/>
          <w:szCs w:val="24"/>
          <w:lang w:eastAsia="it-IT"/>
        </w:rPr>
        <w:t>ai conflitti</w:t>
      </w:r>
    </w:p>
    <w:p w14:paraId="5272BD53" w14:textId="17D29A7A" w:rsidR="00513AFA" w:rsidRDefault="00513AFA" w:rsidP="00513AFA">
      <w:pPr>
        <w:spacing w:after="0"/>
        <w:rPr>
          <w:rFonts w:cs="Calibri"/>
          <w:b/>
          <w:bCs/>
          <w:color w:val="FF0000"/>
          <w:sz w:val="24"/>
          <w:szCs w:val="24"/>
          <w:lang w:eastAsia="it-IT"/>
        </w:rPr>
      </w:pPr>
    </w:p>
    <w:p w14:paraId="6D872DB3" w14:textId="77777777" w:rsidR="0065556F" w:rsidRPr="00B3003D" w:rsidRDefault="0065556F" w:rsidP="0065556F">
      <w:pPr>
        <w:jc w:val="center"/>
        <w:rPr>
          <w:rFonts w:cs="Calibri"/>
          <w:b/>
          <w:bCs/>
          <w:i/>
          <w:sz w:val="24"/>
          <w:szCs w:val="24"/>
          <w:u w:val="single"/>
          <w:lang w:eastAsia="it-IT"/>
        </w:rPr>
      </w:pPr>
      <w:r>
        <w:rPr>
          <w:rFonts w:cs="Calibri"/>
          <w:b/>
          <w:bCs/>
          <w:i/>
          <w:sz w:val="24"/>
          <w:szCs w:val="24"/>
          <w:u w:val="single"/>
          <w:lang w:eastAsia="it-IT"/>
        </w:rPr>
        <w:t>SERVIZIO</w:t>
      </w:r>
      <w:r w:rsidRPr="00B3003D">
        <w:rPr>
          <w:rFonts w:cs="Calibri"/>
          <w:b/>
          <w:bCs/>
          <w:i/>
          <w:sz w:val="24"/>
          <w:szCs w:val="24"/>
          <w:u w:val="single"/>
          <w:lang w:eastAsia="it-IT"/>
        </w:rPr>
        <w:t xml:space="preserve"> SENZA ONERI A CARICO DEI COMUNI</w:t>
      </w:r>
    </w:p>
    <w:p w14:paraId="5160E9B9" w14:textId="77777777" w:rsidR="00513AFA" w:rsidRDefault="00513AFA" w:rsidP="0065556F">
      <w:pPr>
        <w:spacing w:after="0"/>
        <w:rPr>
          <w:rFonts w:cs="Calibri"/>
          <w:b/>
          <w:bCs/>
          <w:color w:val="FF0000"/>
          <w:sz w:val="24"/>
          <w:szCs w:val="24"/>
          <w:lang w:eastAsia="it-IT"/>
        </w:rPr>
      </w:pPr>
    </w:p>
    <w:p w14:paraId="115AF862" w14:textId="77777777" w:rsidR="00B66D6F" w:rsidRPr="00B66D6F" w:rsidRDefault="00B66D6F" w:rsidP="00B66D6F">
      <w:pPr>
        <w:autoSpaceDE w:val="0"/>
        <w:autoSpaceDN w:val="0"/>
        <w:adjustRightInd w:val="0"/>
        <w:jc w:val="both"/>
        <w:rPr>
          <w:rFonts w:cs="Calibri"/>
          <w:color w:val="000000"/>
        </w:rPr>
      </w:pPr>
      <w:r w:rsidRPr="00B66D6F">
        <w:rPr>
          <w:rFonts w:cs="Calibri"/>
          <w:color w:val="000000"/>
        </w:rPr>
        <w:t xml:space="preserve">Il servizio realizza percorsi in grado di accogliere il disordine, la sofferenza e la separazione, generativi di conflitti reali o simbolici. </w:t>
      </w:r>
    </w:p>
    <w:p w14:paraId="69F774C8" w14:textId="77777777" w:rsidR="00B66D6F" w:rsidRPr="00B66D6F" w:rsidRDefault="00B66D6F" w:rsidP="00B66D6F">
      <w:pPr>
        <w:autoSpaceDE w:val="0"/>
        <w:autoSpaceDN w:val="0"/>
        <w:adjustRightInd w:val="0"/>
        <w:jc w:val="both"/>
        <w:rPr>
          <w:rFonts w:cs="Calibri"/>
          <w:color w:val="000000"/>
        </w:rPr>
      </w:pPr>
      <w:r w:rsidRPr="00B66D6F">
        <w:rPr>
          <w:rFonts w:cs="Calibri"/>
          <w:color w:val="000000"/>
        </w:rPr>
        <w:t>Riguarda differenti ambiti e situazioni di vita: dalle famiglie alle prese con riorganizzazioni interne dovute ad eventi critici, a genitori impegnati in percorsi di separazione, a conflitti scolastici latenti o manifesti.</w:t>
      </w:r>
    </w:p>
    <w:p w14:paraId="55480ACD" w14:textId="106B2A99" w:rsidR="00B66D6F" w:rsidRPr="00B66D6F" w:rsidRDefault="00B66D6F" w:rsidP="00B66D6F">
      <w:pPr>
        <w:autoSpaceDE w:val="0"/>
        <w:autoSpaceDN w:val="0"/>
        <w:adjustRightInd w:val="0"/>
        <w:jc w:val="both"/>
        <w:rPr>
          <w:rFonts w:cs="Calibri"/>
          <w:color w:val="000000"/>
        </w:rPr>
      </w:pPr>
      <w:r w:rsidRPr="00B66D6F">
        <w:rPr>
          <w:rFonts w:cs="Calibri"/>
          <w:color w:val="000000"/>
        </w:rPr>
        <w:t>Il mediatore è un professionista preparato che rimane equivicino alle parti coinvolte nel conflitto ed ha il compito di favorirne la comunicazione affinch</w:t>
      </w:r>
      <w:r>
        <w:rPr>
          <w:rFonts w:cs="Calibri"/>
          <w:color w:val="000000"/>
        </w:rPr>
        <w:t>è</w:t>
      </w:r>
      <w:r w:rsidRPr="00B66D6F">
        <w:rPr>
          <w:rFonts w:cs="Calibri"/>
          <w:color w:val="000000"/>
        </w:rPr>
        <w:t xml:space="preserve"> possano ricomprendersi e generare nuovi accordi.</w:t>
      </w:r>
    </w:p>
    <w:p w14:paraId="47D334C3" w14:textId="77777777" w:rsidR="00B66D6F" w:rsidRPr="00B66D6F" w:rsidRDefault="00B66D6F" w:rsidP="00B66D6F">
      <w:pPr>
        <w:autoSpaceDE w:val="0"/>
        <w:autoSpaceDN w:val="0"/>
        <w:adjustRightInd w:val="0"/>
        <w:jc w:val="both"/>
        <w:rPr>
          <w:rFonts w:cs="Calibri"/>
          <w:color w:val="000000"/>
        </w:rPr>
      </w:pPr>
      <w:r w:rsidRPr="00B66D6F">
        <w:rPr>
          <w:rFonts w:cs="Calibri"/>
          <w:color w:val="000000"/>
        </w:rPr>
        <w:t>Si richiamano brevemente, a titolo di esempio, alcuni obiettivi specifici:</w:t>
      </w:r>
    </w:p>
    <w:p w14:paraId="0C9BF1F6" w14:textId="77777777" w:rsidR="00B66D6F" w:rsidRPr="00B66D6F" w:rsidRDefault="00B66D6F" w:rsidP="00B66D6F">
      <w:pPr>
        <w:autoSpaceDE w:val="0"/>
        <w:autoSpaceDN w:val="0"/>
        <w:adjustRightInd w:val="0"/>
        <w:jc w:val="both"/>
        <w:rPr>
          <w:rFonts w:cs="Calibri"/>
          <w:color w:val="000000"/>
        </w:rPr>
      </w:pPr>
      <w:r w:rsidRPr="00B66D6F">
        <w:rPr>
          <w:rFonts w:cs="Calibri"/>
          <w:color w:val="000000"/>
        </w:rPr>
        <w:t>In ambito familiare: offrire uno spazio nel quale i genitori possano incontrarsi per gestire efficacemente il conflitto in modo da preservare la funzione genitoriale; trovare intese ed accordi condivisi per la vita quotidiana, la gestione concreta e le modalità educative più opportune; cercare soluzioni che  nel presente e nel futuro siano soddisfacenti per sé e per i figli;  accordarsi in merito all’organizzazione presente e futura di figli con disabilità; ridurre i costi diretti ed indiretti di conflitti non gestiti costruttivamente, prevenire e supportare le “crisi di ruolo”, che il conflitto inevitabilmente genera.</w:t>
      </w:r>
    </w:p>
    <w:p w14:paraId="559E2B08" w14:textId="77777777" w:rsidR="00B66D6F" w:rsidRPr="00B66D6F" w:rsidRDefault="00B66D6F" w:rsidP="00B66D6F">
      <w:pPr>
        <w:autoSpaceDE w:val="0"/>
        <w:autoSpaceDN w:val="0"/>
        <w:adjustRightInd w:val="0"/>
        <w:jc w:val="both"/>
        <w:rPr>
          <w:rFonts w:cs="Calibri"/>
          <w:color w:val="000000"/>
        </w:rPr>
      </w:pPr>
      <w:r w:rsidRPr="00B66D6F">
        <w:rPr>
          <w:rFonts w:cs="Calibri"/>
          <w:color w:val="000000"/>
        </w:rPr>
        <w:t>In ambito scolastico e sportivo: migliorare le relazioni, favorire l’apprendimento attraverso la cooperazione, contrastare la dispersione scolastica, prevenire e far emergere fenomeni di bullismo, responsabilizzare gli alunni rispetto il significato di loro comportamenti offensivi e sulle loro conseguenze, diffondere una cultura di pace, far conoscere la mediazione alle famiglie, diminuire le querele e le richieste danni.</w:t>
      </w:r>
    </w:p>
    <w:p w14:paraId="2FE5A261" w14:textId="77777777" w:rsidR="00B66D6F" w:rsidRPr="00B66D6F" w:rsidRDefault="00B66D6F" w:rsidP="00B66D6F">
      <w:pPr>
        <w:autoSpaceDE w:val="0"/>
        <w:autoSpaceDN w:val="0"/>
        <w:adjustRightInd w:val="0"/>
        <w:jc w:val="both"/>
        <w:rPr>
          <w:rFonts w:cs="Calibri"/>
          <w:color w:val="000000"/>
        </w:rPr>
      </w:pPr>
      <w:r w:rsidRPr="00B66D6F">
        <w:rPr>
          <w:rFonts w:cs="Calibri"/>
          <w:color w:val="000000"/>
        </w:rPr>
        <w:t>In ambito aziendale: diminuire contenziosi giudiziari, aumentare il benessere relazionale, diminuire l’assenteismo, aumentare la produttività, rafforzare il senso di appartenenza, supportare il cambio generazionale.</w:t>
      </w:r>
    </w:p>
    <w:p w14:paraId="1793403A" w14:textId="77777777" w:rsidR="00B66D6F" w:rsidRPr="00B66D6F" w:rsidRDefault="00B66D6F" w:rsidP="00B66D6F">
      <w:pPr>
        <w:autoSpaceDE w:val="0"/>
        <w:autoSpaceDN w:val="0"/>
        <w:adjustRightInd w:val="0"/>
        <w:jc w:val="both"/>
        <w:rPr>
          <w:rFonts w:cs="Calibri"/>
          <w:color w:val="000000"/>
        </w:rPr>
      </w:pPr>
      <w:r w:rsidRPr="00B66D6F">
        <w:rPr>
          <w:rFonts w:cs="Calibri"/>
          <w:color w:val="000000"/>
        </w:rPr>
        <w:t>In ambito sanitario: dare le parole al dolore di chi già a sofferto e non ha trovato una risposta adeguata, creare un ponte di dialogo tra paziente- personale-struttura sanitaria, diminuire richieste di risarcimento, migliorare la qualità dell’accoglienza e del dialogo con i malati e i loro familiari.</w:t>
      </w:r>
    </w:p>
    <w:p w14:paraId="0713B482" w14:textId="329137A1" w:rsidR="00B66D6F" w:rsidRPr="00B66D6F" w:rsidRDefault="00B66D6F" w:rsidP="00B66D6F">
      <w:pPr>
        <w:autoSpaceDE w:val="0"/>
        <w:autoSpaceDN w:val="0"/>
        <w:adjustRightInd w:val="0"/>
        <w:jc w:val="both"/>
        <w:rPr>
          <w:rFonts w:cs="Calibri"/>
          <w:color w:val="000000"/>
        </w:rPr>
      </w:pPr>
      <w:r w:rsidRPr="00B66D6F">
        <w:rPr>
          <w:rFonts w:cs="Calibri"/>
          <w:color w:val="000000"/>
        </w:rPr>
        <w:t>Il servizio è rivolto a coppie con bisogno di trovare accordi in merito ai processi di riorganizzazione familiare (in via di separazione, separate, divorziate…), nuclei alle prese con conseguenze di eventi critici improvvisi (es. malattia invalidante di un membro), alunni di scuole di ogni ordine e grado incapaci di gestire relazioni conflittuali, dipendenti di organizzazioni.</w:t>
      </w:r>
    </w:p>
    <w:p w14:paraId="1A00A4FD" w14:textId="77777777" w:rsidR="00B66D6F" w:rsidRPr="00B66D6F" w:rsidRDefault="00B66D6F" w:rsidP="00B66D6F">
      <w:pPr>
        <w:autoSpaceDE w:val="0"/>
        <w:autoSpaceDN w:val="0"/>
        <w:adjustRightInd w:val="0"/>
        <w:jc w:val="both"/>
        <w:rPr>
          <w:rFonts w:cs="Calibri"/>
          <w:color w:val="000000"/>
        </w:rPr>
      </w:pPr>
      <w:r w:rsidRPr="00B66D6F">
        <w:rPr>
          <w:rFonts w:cs="Calibri"/>
          <w:color w:val="000000"/>
        </w:rPr>
        <w:t>Si accede mediante segnalazione da parte dell’Assistente Sociale del Comune di residenza di una delle parti.</w:t>
      </w:r>
    </w:p>
    <w:p w14:paraId="25C63582" w14:textId="77777777" w:rsidR="00B66D6F" w:rsidRPr="00B66D6F" w:rsidRDefault="00B66D6F" w:rsidP="00B66D6F">
      <w:pPr>
        <w:autoSpaceDE w:val="0"/>
        <w:autoSpaceDN w:val="0"/>
        <w:adjustRightInd w:val="0"/>
        <w:jc w:val="both"/>
        <w:rPr>
          <w:rFonts w:cs="Calibri"/>
          <w:color w:val="000000"/>
        </w:rPr>
      </w:pPr>
    </w:p>
    <w:p w14:paraId="76904362" w14:textId="77777777" w:rsidR="0065556F" w:rsidRDefault="0065556F" w:rsidP="00B66D6F">
      <w:pPr>
        <w:autoSpaceDE w:val="0"/>
        <w:autoSpaceDN w:val="0"/>
        <w:adjustRightInd w:val="0"/>
        <w:jc w:val="both"/>
        <w:rPr>
          <w:rFonts w:cs="Calibri"/>
          <w:b/>
          <w:bCs/>
          <w:color w:val="000000"/>
        </w:rPr>
      </w:pPr>
    </w:p>
    <w:p w14:paraId="24E1AABE" w14:textId="77777777" w:rsidR="0065556F" w:rsidRDefault="0065556F" w:rsidP="00B66D6F">
      <w:pPr>
        <w:autoSpaceDE w:val="0"/>
        <w:autoSpaceDN w:val="0"/>
        <w:adjustRightInd w:val="0"/>
        <w:jc w:val="both"/>
        <w:rPr>
          <w:rFonts w:cs="Calibri"/>
          <w:b/>
          <w:bCs/>
          <w:color w:val="000000"/>
        </w:rPr>
      </w:pPr>
    </w:p>
    <w:p w14:paraId="3FFF8D86" w14:textId="1775FFC3" w:rsidR="00B66D6F" w:rsidRPr="00B66D6F" w:rsidRDefault="00B66D6F" w:rsidP="00B66D6F">
      <w:pPr>
        <w:autoSpaceDE w:val="0"/>
        <w:autoSpaceDN w:val="0"/>
        <w:adjustRightInd w:val="0"/>
        <w:jc w:val="both"/>
        <w:rPr>
          <w:rFonts w:cs="Calibri"/>
          <w:sz w:val="20"/>
          <w:szCs w:val="20"/>
        </w:rPr>
      </w:pPr>
      <w:r w:rsidRPr="00B66D6F">
        <w:rPr>
          <w:rFonts w:cs="Calibri"/>
          <w:b/>
          <w:bCs/>
          <w:color w:val="000000"/>
        </w:rPr>
        <w:t>PERSONALE IMPIEGATO</w:t>
      </w:r>
    </w:p>
    <w:p w14:paraId="49E52A97" w14:textId="77777777" w:rsidR="00B66D6F" w:rsidRPr="00B66D6F" w:rsidRDefault="00B66D6F" w:rsidP="00B66D6F">
      <w:pPr>
        <w:spacing w:after="160" w:line="259" w:lineRule="auto"/>
        <w:ind w:left="-3"/>
        <w:contextualSpacing/>
        <w:jc w:val="both"/>
        <w:rPr>
          <w:rFonts w:cs="Calibri"/>
          <w:color w:val="000000"/>
          <w:lang w:eastAsia="it-IT"/>
        </w:rPr>
      </w:pPr>
      <w:r w:rsidRPr="00B66D6F">
        <w:rPr>
          <w:rFonts w:cs="Calibri"/>
          <w:color w:val="000000"/>
          <w:lang w:eastAsia="it-IT"/>
        </w:rPr>
        <w:t>Lo sportello di mediazione dei conflitti è gestito da professionisti del settore iscritti al registro A.I.M.E.F.</w:t>
      </w:r>
    </w:p>
    <w:p w14:paraId="674160F3" w14:textId="77777777" w:rsidR="006F349A" w:rsidRPr="006F349A" w:rsidRDefault="006F349A" w:rsidP="006F349A">
      <w:pPr>
        <w:autoSpaceDE w:val="0"/>
        <w:autoSpaceDN w:val="0"/>
        <w:adjustRightInd w:val="0"/>
        <w:spacing w:after="0" w:line="240" w:lineRule="auto"/>
        <w:jc w:val="both"/>
        <w:rPr>
          <w:rFonts w:cs="Calibri"/>
          <w:sz w:val="20"/>
          <w:szCs w:val="20"/>
        </w:rPr>
      </w:pPr>
    </w:p>
    <w:p w14:paraId="48EF1433" w14:textId="77777777" w:rsidR="00B66D6F" w:rsidRPr="009D0E64" w:rsidRDefault="00B66D6F" w:rsidP="006F349A">
      <w:pPr>
        <w:autoSpaceDE w:val="0"/>
        <w:autoSpaceDN w:val="0"/>
        <w:adjustRightInd w:val="0"/>
        <w:spacing w:after="0" w:line="240" w:lineRule="auto"/>
        <w:jc w:val="both"/>
        <w:rPr>
          <w:rFonts w:cs="Calibri"/>
          <w:b/>
          <w:bCs/>
          <w:color w:val="000000"/>
        </w:rPr>
      </w:pPr>
    </w:p>
    <w:p w14:paraId="2FE807C7" w14:textId="7CD74473" w:rsidR="003C5268" w:rsidRPr="00887E8B" w:rsidRDefault="003C5268" w:rsidP="003C5268">
      <w:pPr>
        <w:jc w:val="both"/>
      </w:pPr>
      <w:bookmarkStart w:id="0" w:name="_Hlk58172142"/>
      <w:r>
        <w:rPr>
          <w:rFonts w:cs="Calibri"/>
          <w:b/>
          <w:bCs/>
          <w:color w:val="000000"/>
        </w:rPr>
        <w:t>COSTI DEL SERVIZIO</w:t>
      </w:r>
      <w:r>
        <w:t xml:space="preserve"> </w:t>
      </w:r>
      <w:r w:rsidR="0065556F">
        <w:rPr>
          <w:rFonts w:cs="Calibri"/>
          <w:color w:val="FF0000"/>
        </w:rPr>
        <w:t xml:space="preserve"> </w:t>
      </w:r>
    </w:p>
    <w:tbl>
      <w:tblPr>
        <w:tblStyle w:val="Grigliatabella"/>
        <w:tblW w:w="0" w:type="auto"/>
        <w:tblLook w:val="04A0" w:firstRow="1" w:lastRow="0" w:firstColumn="1" w:lastColumn="0" w:noHBand="0" w:noVBand="1"/>
      </w:tblPr>
      <w:tblGrid>
        <w:gridCol w:w="5089"/>
        <w:gridCol w:w="4196"/>
      </w:tblGrid>
      <w:tr w:rsidR="003C5268" w14:paraId="293E89D5" w14:textId="77777777" w:rsidTr="0065556F">
        <w:trPr>
          <w:trHeight w:val="405"/>
        </w:trPr>
        <w:tc>
          <w:tcPr>
            <w:tcW w:w="5089" w:type="dxa"/>
          </w:tcPr>
          <w:p w14:paraId="737F33FB" w14:textId="77777777" w:rsidR="003C5268" w:rsidRPr="00D17BDA" w:rsidRDefault="003C5268" w:rsidP="006D3CC7">
            <w:pPr>
              <w:autoSpaceDE w:val="0"/>
              <w:autoSpaceDN w:val="0"/>
              <w:adjustRightInd w:val="0"/>
              <w:jc w:val="both"/>
              <w:rPr>
                <w:rFonts w:cs="Calibri"/>
                <w:color w:val="000000"/>
              </w:rPr>
            </w:pPr>
          </w:p>
        </w:tc>
        <w:tc>
          <w:tcPr>
            <w:tcW w:w="4196" w:type="dxa"/>
          </w:tcPr>
          <w:p w14:paraId="793CB6D2" w14:textId="77777777" w:rsidR="003C5268" w:rsidRDefault="003C5268" w:rsidP="006D3CC7">
            <w:pPr>
              <w:autoSpaceDE w:val="0"/>
              <w:autoSpaceDN w:val="0"/>
              <w:adjustRightInd w:val="0"/>
              <w:jc w:val="center"/>
              <w:rPr>
                <w:rFonts w:cs="Calibri"/>
                <w:b/>
                <w:bCs/>
                <w:color w:val="000000"/>
              </w:rPr>
            </w:pPr>
            <w:r>
              <w:rPr>
                <w:rFonts w:cs="Calibri"/>
                <w:b/>
                <w:bCs/>
                <w:color w:val="000000"/>
              </w:rPr>
              <w:t>COSTO COMPLESSIVO</w:t>
            </w:r>
          </w:p>
        </w:tc>
      </w:tr>
      <w:tr w:rsidR="003C5268" w:rsidRPr="003C5268" w14:paraId="0C355335" w14:textId="77777777" w:rsidTr="0065556F">
        <w:trPr>
          <w:trHeight w:val="415"/>
        </w:trPr>
        <w:tc>
          <w:tcPr>
            <w:tcW w:w="5089" w:type="dxa"/>
          </w:tcPr>
          <w:p w14:paraId="5F3A6773" w14:textId="0CC96D95" w:rsidR="003C5268" w:rsidRPr="003C5268" w:rsidRDefault="003C5268" w:rsidP="006D3CC7">
            <w:pPr>
              <w:autoSpaceDE w:val="0"/>
              <w:autoSpaceDN w:val="0"/>
              <w:adjustRightInd w:val="0"/>
              <w:jc w:val="both"/>
              <w:rPr>
                <w:rFonts w:cs="Calibri"/>
                <w:b/>
                <w:bCs/>
                <w:color w:val="000000"/>
                <w:sz w:val="20"/>
                <w:szCs w:val="20"/>
              </w:rPr>
            </w:pPr>
            <w:r w:rsidRPr="003C5268">
              <w:rPr>
                <w:rFonts w:cs="Calibri"/>
                <w:b/>
                <w:bCs/>
                <w:color w:val="000000"/>
                <w:sz w:val="20"/>
                <w:szCs w:val="20"/>
              </w:rPr>
              <w:t>OPERATORE SPECIALIZZATO</w:t>
            </w:r>
          </w:p>
        </w:tc>
        <w:tc>
          <w:tcPr>
            <w:tcW w:w="4196" w:type="dxa"/>
          </w:tcPr>
          <w:p w14:paraId="0024509D" w14:textId="49ADEBB3" w:rsidR="003C5268" w:rsidRPr="003C5268" w:rsidRDefault="003C5268" w:rsidP="00C005AE">
            <w:pPr>
              <w:autoSpaceDE w:val="0"/>
              <w:autoSpaceDN w:val="0"/>
              <w:adjustRightInd w:val="0"/>
              <w:jc w:val="right"/>
              <w:rPr>
                <w:rFonts w:cs="Calibri"/>
                <w:b/>
                <w:bCs/>
                <w:color w:val="000000"/>
                <w:sz w:val="20"/>
                <w:szCs w:val="20"/>
              </w:rPr>
            </w:pPr>
            <w:r w:rsidRPr="003C5268">
              <w:rPr>
                <w:rFonts w:cs="Calibri"/>
                <w:b/>
                <w:bCs/>
                <w:color w:val="000000"/>
                <w:sz w:val="20"/>
                <w:szCs w:val="20"/>
              </w:rPr>
              <w:t xml:space="preserve">€ </w:t>
            </w:r>
            <w:r w:rsidR="00C005AE">
              <w:rPr>
                <w:rFonts w:cs="Calibri"/>
                <w:b/>
                <w:bCs/>
                <w:color w:val="000000"/>
                <w:sz w:val="20"/>
                <w:szCs w:val="20"/>
              </w:rPr>
              <w:t>4</w:t>
            </w:r>
            <w:r w:rsidRPr="003C5268">
              <w:rPr>
                <w:rFonts w:cs="Calibri"/>
                <w:b/>
                <w:bCs/>
                <w:color w:val="000000"/>
                <w:sz w:val="20"/>
                <w:szCs w:val="20"/>
              </w:rPr>
              <w:t>.000,00</w:t>
            </w:r>
          </w:p>
        </w:tc>
      </w:tr>
    </w:tbl>
    <w:p w14:paraId="00B14220" w14:textId="77777777" w:rsidR="003C5268" w:rsidRDefault="003C5268" w:rsidP="00C86465">
      <w:pPr>
        <w:autoSpaceDE w:val="0"/>
        <w:autoSpaceDN w:val="0"/>
        <w:adjustRightInd w:val="0"/>
        <w:jc w:val="both"/>
        <w:rPr>
          <w:rFonts w:cs="Calibri"/>
          <w:b/>
          <w:bCs/>
          <w:u w:val="single"/>
        </w:rPr>
      </w:pPr>
    </w:p>
    <w:p w14:paraId="032F1CFC" w14:textId="2B426AA4" w:rsidR="00C86465" w:rsidRPr="00AF41E8" w:rsidRDefault="00C86465" w:rsidP="00C86465">
      <w:pPr>
        <w:autoSpaceDE w:val="0"/>
        <w:autoSpaceDN w:val="0"/>
        <w:adjustRightInd w:val="0"/>
        <w:jc w:val="both"/>
        <w:rPr>
          <w:rFonts w:cs="Calibri"/>
          <w:b/>
          <w:bCs/>
          <w:color w:val="000000"/>
          <w:u w:val="single"/>
        </w:rPr>
      </w:pPr>
      <w:r w:rsidRPr="00AF41E8">
        <w:rPr>
          <w:rFonts w:cs="Calibri"/>
          <w:b/>
          <w:bCs/>
          <w:u w:val="single"/>
        </w:rPr>
        <w:t xml:space="preserve">La copertura dei costi pari al 100 %, </w:t>
      </w:r>
      <w:bookmarkStart w:id="1" w:name="_Hlk58171005"/>
      <w:r w:rsidRPr="00AF41E8">
        <w:rPr>
          <w:rFonts w:cs="Calibri"/>
          <w:b/>
          <w:bCs/>
          <w:u w:val="single"/>
        </w:rPr>
        <w:t>è subordinata alla presenza dei previsti finanziamenti Regionali e Ministeriali.</w:t>
      </w:r>
      <w:bookmarkEnd w:id="1"/>
    </w:p>
    <w:bookmarkEnd w:id="0"/>
    <w:p w14:paraId="3B2FF08A" w14:textId="4F324948" w:rsidR="00FF2F6D" w:rsidRPr="006F349A" w:rsidRDefault="00FF2F6D" w:rsidP="006F349A">
      <w:pPr>
        <w:autoSpaceDE w:val="0"/>
        <w:autoSpaceDN w:val="0"/>
        <w:adjustRightInd w:val="0"/>
        <w:jc w:val="both"/>
        <w:rPr>
          <w:rFonts w:cs="Calibri"/>
          <w:color w:val="000000"/>
          <w:highlight w:val="yellow"/>
        </w:rPr>
      </w:pPr>
    </w:p>
    <w:sectPr w:rsidR="00FF2F6D" w:rsidRPr="006F349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9B01" w14:textId="77777777" w:rsidR="0030790D" w:rsidRDefault="0030790D" w:rsidP="00624589">
      <w:pPr>
        <w:spacing w:after="0" w:line="240" w:lineRule="auto"/>
      </w:pPr>
      <w:r>
        <w:separator/>
      </w:r>
    </w:p>
  </w:endnote>
  <w:endnote w:type="continuationSeparator" w:id="0">
    <w:p w14:paraId="39F758C3" w14:textId="77777777" w:rsidR="0030790D" w:rsidRDefault="0030790D" w:rsidP="0062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8FBB" w14:textId="77777777" w:rsidR="00594300" w:rsidRDefault="005943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6B7C" w14:textId="77777777" w:rsidR="00594300" w:rsidRDefault="005943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4F48" w14:textId="77777777" w:rsidR="00594300" w:rsidRDefault="005943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3616" w14:textId="77777777" w:rsidR="0030790D" w:rsidRDefault="0030790D" w:rsidP="00624589">
      <w:pPr>
        <w:spacing w:after="0" w:line="240" w:lineRule="auto"/>
      </w:pPr>
      <w:r>
        <w:separator/>
      </w:r>
    </w:p>
  </w:footnote>
  <w:footnote w:type="continuationSeparator" w:id="0">
    <w:p w14:paraId="4F3AFCC6" w14:textId="77777777" w:rsidR="0030790D" w:rsidRDefault="0030790D" w:rsidP="0062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5AC9" w14:textId="77777777" w:rsidR="00594300" w:rsidRDefault="005943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3803" w14:textId="03DB2080" w:rsidR="00624589" w:rsidRDefault="00594300" w:rsidP="00624589">
    <w:pPr>
      <w:pStyle w:val="Intestazione"/>
      <w:jc w:val="center"/>
    </w:pPr>
    <w:r w:rsidRPr="00594300">
      <w:rPr>
        <w:i/>
        <w:noProof/>
      </w:rPr>
      <w:drawing>
        <wp:inline distT="0" distB="0" distL="0" distR="0" wp14:anchorId="7251606B" wp14:editId="6111D311">
          <wp:extent cx="5029200" cy="971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r w:rsidR="00624589">
      <w:ptab w:relativeTo="margin" w:alignment="center" w:leader="none"/>
    </w:r>
    <w:r w:rsidR="006245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BF91" w14:textId="77777777" w:rsidR="00594300" w:rsidRDefault="005943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3599"/>
    <w:multiLevelType w:val="hybridMultilevel"/>
    <w:tmpl w:val="FAF2D596"/>
    <w:lvl w:ilvl="0" w:tplc="04100017">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 w15:restartNumberingAfterBreak="0">
    <w:nsid w:val="25904321"/>
    <w:multiLevelType w:val="hybridMultilevel"/>
    <w:tmpl w:val="0CA0B94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FA16D9"/>
    <w:multiLevelType w:val="hybridMultilevel"/>
    <w:tmpl w:val="655C02F8"/>
    <w:lvl w:ilvl="0" w:tplc="A428094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6214CC"/>
    <w:multiLevelType w:val="hybridMultilevel"/>
    <w:tmpl w:val="27F07BAC"/>
    <w:lvl w:ilvl="0" w:tplc="A428094C">
      <w:start w:val="1"/>
      <w:numFmt w:val="lowerLetter"/>
      <w:lvlText w:val="%1)"/>
      <w:lvlJc w:val="left"/>
      <w:pPr>
        <w:ind w:left="720" w:hanging="360"/>
      </w:pPr>
      <w:rPr>
        <w:rFonts w:hint="default"/>
      </w:rPr>
    </w:lvl>
    <w:lvl w:ilvl="1" w:tplc="A428094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96453040">
    <w:abstractNumId w:val="3"/>
  </w:num>
  <w:num w:numId="2" w16cid:durableId="1220365154">
    <w:abstractNumId w:val="2"/>
  </w:num>
  <w:num w:numId="3" w16cid:durableId="183595683">
    <w:abstractNumId w:val="1"/>
  </w:num>
  <w:num w:numId="4" w16cid:durableId="554314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6B"/>
    <w:rsid w:val="00043D92"/>
    <w:rsid w:val="002004CD"/>
    <w:rsid w:val="002C15D7"/>
    <w:rsid w:val="0030790D"/>
    <w:rsid w:val="0033616D"/>
    <w:rsid w:val="003C5268"/>
    <w:rsid w:val="00401E06"/>
    <w:rsid w:val="004147B4"/>
    <w:rsid w:val="00513AFA"/>
    <w:rsid w:val="00550166"/>
    <w:rsid w:val="00594300"/>
    <w:rsid w:val="00624589"/>
    <w:rsid w:val="0065556F"/>
    <w:rsid w:val="006F349A"/>
    <w:rsid w:val="007D4D66"/>
    <w:rsid w:val="0086265F"/>
    <w:rsid w:val="00915902"/>
    <w:rsid w:val="009A1FBE"/>
    <w:rsid w:val="009D0E64"/>
    <w:rsid w:val="00B3736B"/>
    <w:rsid w:val="00B66D6F"/>
    <w:rsid w:val="00BF3861"/>
    <w:rsid w:val="00C005AE"/>
    <w:rsid w:val="00C86465"/>
    <w:rsid w:val="00F52420"/>
    <w:rsid w:val="00F54334"/>
    <w:rsid w:val="00F9339F"/>
    <w:rsid w:val="00FF2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97CB83"/>
  <w15:chartTrackingRefBased/>
  <w15:docId w15:val="{F099469C-D507-4C95-BFCD-287F269A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589"/>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4589"/>
    <w:pPr>
      <w:spacing w:after="0" w:line="240" w:lineRule="auto"/>
      <w:ind w:left="720"/>
      <w:contextualSpacing/>
    </w:pPr>
    <w:rPr>
      <w:rFonts w:ascii="Times New Roman" w:hAnsi="Times New Roman"/>
      <w:sz w:val="24"/>
      <w:szCs w:val="24"/>
      <w:lang w:eastAsia="it-IT"/>
    </w:rPr>
  </w:style>
  <w:style w:type="paragraph" w:styleId="Intestazione">
    <w:name w:val="header"/>
    <w:basedOn w:val="Normale"/>
    <w:link w:val="IntestazioneCarattere"/>
    <w:uiPriority w:val="99"/>
    <w:unhideWhenUsed/>
    <w:rsid w:val="006245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589"/>
    <w:rPr>
      <w:rFonts w:ascii="Calibri" w:eastAsia="Times New Roman" w:hAnsi="Calibri" w:cs="Times New Roman"/>
    </w:rPr>
  </w:style>
  <w:style w:type="paragraph" w:styleId="Pidipagina">
    <w:name w:val="footer"/>
    <w:basedOn w:val="Normale"/>
    <w:link w:val="PidipaginaCarattere"/>
    <w:uiPriority w:val="99"/>
    <w:unhideWhenUsed/>
    <w:rsid w:val="006245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589"/>
    <w:rPr>
      <w:rFonts w:ascii="Calibri" w:eastAsia="Times New Roman" w:hAnsi="Calibri" w:cs="Times New Roman"/>
    </w:rPr>
  </w:style>
  <w:style w:type="table" w:styleId="Grigliatabella">
    <w:name w:val="Table Grid"/>
    <w:basedOn w:val="Tabellanormale"/>
    <w:uiPriority w:val="39"/>
    <w:rsid w:val="003C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480</Words>
  <Characters>2736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b.grifalconi</cp:lastModifiedBy>
  <cp:revision>23</cp:revision>
  <dcterms:created xsi:type="dcterms:W3CDTF">2020-09-11T15:43:00Z</dcterms:created>
  <dcterms:modified xsi:type="dcterms:W3CDTF">2023-01-30T15:24:00Z</dcterms:modified>
</cp:coreProperties>
</file>